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00EB3" w14:textId="77777777" w:rsidR="00E723AA" w:rsidRDefault="007C4359" w:rsidP="00E33B67">
      <w:pPr>
        <w:pStyle w:val="NoSpacing"/>
        <w:jc w:val="center"/>
        <w:rPr>
          <w:rFonts w:ascii="Book Antiqua" w:hAnsi="Book Antiqua"/>
          <w:b/>
          <w:bCs/>
          <w:sz w:val="28"/>
          <w:szCs w:val="28"/>
        </w:rPr>
      </w:pPr>
      <w:r w:rsidRPr="00E33B67">
        <w:rPr>
          <w:rFonts w:ascii="Book Antiqua" w:hAnsi="Book Antiqua"/>
          <w:b/>
          <w:bCs/>
          <w:sz w:val="28"/>
          <w:szCs w:val="28"/>
        </w:rPr>
        <w:t xml:space="preserve">Development of Run Ping-Pong Ball Game Media </w:t>
      </w:r>
    </w:p>
    <w:p w14:paraId="6307067F" w14:textId="55C5D288" w:rsidR="00E33B67" w:rsidRDefault="007C4359" w:rsidP="00E33B67">
      <w:pPr>
        <w:pStyle w:val="NoSpacing"/>
        <w:jc w:val="center"/>
        <w:rPr>
          <w:rFonts w:ascii="Book Antiqua" w:hAnsi="Book Antiqua"/>
          <w:b/>
          <w:bCs/>
          <w:sz w:val="28"/>
          <w:szCs w:val="28"/>
        </w:rPr>
      </w:pPr>
      <w:r w:rsidRPr="00E33B67">
        <w:rPr>
          <w:rFonts w:ascii="Book Antiqua" w:hAnsi="Book Antiqua"/>
          <w:b/>
          <w:bCs/>
          <w:sz w:val="28"/>
          <w:szCs w:val="28"/>
        </w:rPr>
        <w:t>to Train Students</w:t>
      </w:r>
      <w:r w:rsidR="008018ED">
        <w:rPr>
          <w:rFonts w:ascii="Book Antiqua" w:hAnsi="Book Antiqua"/>
          <w:b/>
          <w:bCs/>
          <w:sz w:val="28"/>
          <w:szCs w:val="28"/>
        </w:rPr>
        <w:t>’</w:t>
      </w:r>
      <w:r w:rsidRPr="00E33B67">
        <w:rPr>
          <w:rFonts w:ascii="Book Antiqua" w:hAnsi="Book Antiqua"/>
          <w:b/>
          <w:bCs/>
          <w:sz w:val="28"/>
          <w:szCs w:val="28"/>
        </w:rPr>
        <w:t xml:space="preserve"> Memory Skills</w:t>
      </w:r>
    </w:p>
    <w:p w14:paraId="1EB0D25E" w14:textId="77777777" w:rsidR="00E33B67" w:rsidRDefault="00E33B67" w:rsidP="00E33B67">
      <w:pPr>
        <w:pStyle w:val="NoSpacing"/>
        <w:jc w:val="center"/>
        <w:rPr>
          <w:rFonts w:ascii="Book Antiqua" w:hAnsi="Book Antiqua"/>
          <w:b/>
          <w:bCs/>
          <w:sz w:val="28"/>
          <w:szCs w:val="28"/>
        </w:rPr>
      </w:pPr>
    </w:p>
    <w:p w14:paraId="0798B185" w14:textId="77777777" w:rsidR="00D9697C" w:rsidRDefault="00A41814" w:rsidP="00D9697C">
      <w:pPr>
        <w:pStyle w:val="NoSpacing"/>
        <w:jc w:val="center"/>
        <w:rPr>
          <w:rFonts w:ascii="Book Antiqua" w:hAnsi="Book Antiqua"/>
          <w:b/>
          <w:bCs/>
          <w:sz w:val="24"/>
          <w:szCs w:val="24"/>
          <w:vertAlign w:val="superscript"/>
        </w:rPr>
      </w:pPr>
      <w:r w:rsidRPr="00A41814">
        <w:rPr>
          <w:rFonts w:ascii="Book Antiqua" w:hAnsi="Book Antiqua"/>
          <w:b/>
          <w:bCs/>
          <w:sz w:val="24"/>
          <w:szCs w:val="24"/>
        </w:rPr>
        <w:t>Novia Ramadani</w:t>
      </w:r>
      <w:r w:rsidR="00231C71" w:rsidRPr="00C3555D">
        <w:rPr>
          <w:rFonts w:ascii="Book Antiqua" w:hAnsi="Book Antiqua"/>
          <w:b/>
          <w:bCs/>
          <w:sz w:val="24"/>
          <w:szCs w:val="24"/>
          <w:vertAlign w:val="superscript"/>
        </w:rPr>
        <w:t>1</w:t>
      </w:r>
      <w:r w:rsidR="00EA6F4F">
        <w:rPr>
          <w:rFonts w:ascii="Book Antiqua" w:hAnsi="Book Antiqua"/>
          <w:b/>
          <w:bCs/>
          <w:sz w:val="24"/>
          <w:szCs w:val="24"/>
        </w:rPr>
        <w:t xml:space="preserve">, </w:t>
      </w:r>
      <w:r w:rsidRPr="00A41814">
        <w:rPr>
          <w:rFonts w:ascii="Book Antiqua" w:hAnsi="Book Antiqua"/>
          <w:b/>
          <w:bCs/>
          <w:sz w:val="24"/>
          <w:szCs w:val="24"/>
        </w:rPr>
        <w:t>Ahmad Syarqawi</w:t>
      </w:r>
      <w:r w:rsidR="00D9697C">
        <w:rPr>
          <w:rFonts w:ascii="Book Antiqua" w:hAnsi="Book Antiqua"/>
          <w:b/>
          <w:bCs/>
          <w:sz w:val="24"/>
          <w:szCs w:val="24"/>
          <w:vertAlign w:val="superscript"/>
        </w:rPr>
        <w:t>1</w:t>
      </w:r>
    </w:p>
    <w:p w14:paraId="4F5A8EAF" w14:textId="4233CEEE" w:rsidR="00E33B67" w:rsidRPr="00D9697C" w:rsidRDefault="00231C71" w:rsidP="00D9697C">
      <w:pPr>
        <w:pStyle w:val="NoSpacing"/>
        <w:jc w:val="center"/>
        <w:rPr>
          <w:rStyle w:val="jlqj4b"/>
          <w:rFonts w:ascii="Book Antiqua" w:hAnsi="Book Antiqua"/>
          <w:b/>
          <w:bCs/>
          <w:sz w:val="24"/>
          <w:szCs w:val="24"/>
          <w:vertAlign w:val="superscript"/>
        </w:rPr>
      </w:pPr>
      <w:r w:rsidRPr="00D9697C">
        <w:rPr>
          <w:rFonts w:ascii="Book Antiqua" w:hAnsi="Book Antiqua"/>
          <w:sz w:val="24"/>
          <w:szCs w:val="24"/>
          <w:vertAlign w:val="superscript"/>
        </w:rPr>
        <w:t>1</w:t>
      </w:r>
      <w:r w:rsidR="00D9697C" w:rsidRPr="00300428">
        <w:rPr>
          <w:rStyle w:val="jlqj4b"/>
          <w:rFonts w:ascii="Book Antiqua" w:hAnsi="Book Antiqua"/>
          <w:sz w:val="24"/>
          <w:szCs w:val="24"/>
        </w:rPr>
        <w:t>Universitas Islam Negeri Sumatera Utara</w:t>
      </w:r>
      <w:r w:rsidR="00D9697C">
        <w:rPr>
          <w:rStyle w:val="jlqj4b"/>
          <w:rFonts w:ascii="Book Antiqua" w:hAnsi="Book Antiqua"/>
          <w:sz w:val="24"/>
          <w:szCs w:val="24"/>
        </w:rPr>
        <w:t xml:space="preserve"> Medan, North Sumatra, </w:t>
      </w:r>
      <w:r w:rsidR="00D9697C" w:rsidRPr="00300428">
        <w:rPr>
          <w:rStyle w:val="jlqj4b"/>
          <w:rFonts w:ascii="Book Antiqua" w:hAnsi="Book Antiqua"/>
          <w:sz w:val="24"/>
          <w:szCs w:val="24"/>
        </w:rPr>
        <w:t>Indonesia</w:t>
      </w:r>
      <w:r w:rsidR="00EA6F4F">
        <w:rPr>
          <w:rStyle w:val="jlqj4b"/>
          <w:rFonts w:ascii="Book Antiqua" w:hAnsi="Book Antiqua"/>
          <w:sz w:val="24"/>
          <w:szCs w:val="24"/>
        </w:rPr>
        <w:t xml:space="preserve"> </w:t>
      </w:r>
    </w:p>
    <w:p w14:paraId="63CD4E1D" w14:textId="77777777" w:rsidR="00E33B67" w:rsidRDefault="00E33B67" w:rsidP="00E33B67">
      <w:pPr>
        <w:pStyle w:val="NoSpacing"/>
        <w:jc w:val="center"/>
        <w:rPr>
          <w:rStyle w:val="jlqj4b"/>
          <w:rFonts w:ascii="Book Antiqua" w:hAnsi="Book Antiqua"/>
          <w:sz w:val="24"/>
          <w:szCs w:val="24"/>
        </w:rPr>
      </w:pPr>
    </w:p>
    <w:p w14:paraId="30A06A1D" w14:textId="77777777" w:rsidR="00E33B67" w:rsidRDefault="00231C71" w:rsidP="00E33B67">
      <w:pPr>
        <w:pStyle w:val="NoSpacing"/>
        <w:jc w:val="center"/>
      </w:pPr>
      <w:r w:rsidRPr="00C3555D">
        <w:rPr>
          <w:rFonts w:ascii="Book Antiqua" w:hAnsi="Book Antiqua"/>
          <w:sz w:val="24"/>
          <w:szCs w:val="24"/>
        </w:rPr>
        <w:t>Corresponding author e-mail:</w:t>
      </w:r>
      <w:r w:rsidR="00271E74">
        <w:rPr>
          <w:rFonts w:ascii="Book Antiqua" w:hAnsi="Book Antiqua"/>
          <w:sz w:val="24"/>
          <w:szCs w:val="24"/>
        </w:rPr>
        <w:t xml:space="preserve"> </w:t>
      </w:r>
      <w:hyperlink r:id="rId8" w:history="1">
        <w:r w:rsidR="00A41814" w:rsidRPr="00E92D17">
          <w:rPr>
            <w:rStyle w:val="Hyperlink"/>
            <w:rFonts w:ascii="Book Antiqua" w:hAnsi="Book Antiqua"/>
            <w:sz w:val="24"/>
            <w:szCs w:val="24"/>
          </w:rPr>
          <w:t>novia303222045@uinsu.ac.id</w:t>
        </w:r>
      </w:hyperlink>
    </w:p>
    <w:p w14:paraId="2EB9A708" w14:textId="77777777" w:rsidR="00E33B67" w:rsidRDefault="00E33B67" w:rsidP="00E33B67">
      <w:pPr>
        <w:pStyle w:val="NoSpacing"/>
        <w:jc w:val="center"/>
      </w:pPr>
    </w:p>
    <w:p w14:paraId="64F31302" w14:textId="661DEA0B" w:rsidR="00D9697C" w:rsidRDefault="00D9697C" w:rsidP="00D9697C">
      <w:pPr>
        <w:pStyle w:val="NoSpacing"/>
        <w:jc w:val="center"/>
        <w:rPr>
          <w:rFonts w:ascii="Book Antiqua" w:hAnsi="Book Antiqua"/>
          <w:sz w:val="24"/>
          <w:szCs w:val="24"/>
        </w:rPr>
      </w:pPr>
      <w:r w:rsidRPr="001A1DC4">
        <w:rPr>
          <w:rFonts w:ascii="Book Antiqua" w:hAnsi="Book Antiqua"/>
          <w:sz w:val="24"/>
          <w:szCs w:val="24"/>
        </w:rPr>
        <w:t xml:space="preserve">Article History: Received on </w:t>
      </w:r>
      <w:r>
        <w:rPr>
          <w:rFonts w:ascii="Book Antiqua" w:hAnsi="Book Antiqua"/>
          <w:sz w:val="24"/>
          <w:szCs w:val="24"/>
        </w:rPr>
        <w:t>1</w:t>
      </w:r>
      <w:r>
        <w:rPr>
          <w:rFonts w:ascii="Book Antiqua" w:hAnsi="Book Antiqua"/>
          <w:sz w:val="24"/>
          <w:szCs w:val="24"/>
        </w:rPr>
        <w:t>2 May</w:t>
      </w:r>
      <w:r w:rsidRPr="001A1DC4">
        <w:rPr>
          <w:rFonts w:ascii="Book Antiqua" w:hAnsi="Book Antiqua"/>
          <w:sz w:val="24"/>
          <w:szCs w:val="24"/>
        </w:rPr>
        <w:t xml:space="preserve"> 202</w:t>
      </w:r>
      <w:r>
        <w:rPr>
          <w:rFonts w:ascii="Book Antiqua" w:hAnsi="Book Antiqua"/>
          <w:sz w:val="24"/>
          <w:szCs w:val="24"/>
        </w:rPr>
        <w:t>6</w:t>
      </w:r>
      <w:r w:rsidRPr="001A1DC4">
        <w:rPr>
          <w:rFonts w:ascii="Book Antiqua" w:hAnsi="Book Antiqua"/>
          <w:sz w:val="24"/>
          <w:szCs w:val="24"/>
        </w:rPr>
        <w:t xml:space="preserve">, Revised on </w:t>
      </w:r>
      <w:r>
        <w:rPr>
          <w:rFonts w:ascii="Book Antiqua" w:hAnsi="Book Antiqua"/>
          <w:sz w:val="24"/>
          <w:szCs w:val="24"/>
        </w:rPr>
        <w:t>3</w:t>
      </w:r>
      <w:r>
        <w:rPr>
          <w:rFonts w:ascii="Book Antiqua" w:hAnsi="Book Antiqua"/>
          <w:sz w:val="24"/>
          <w:szCs w:val="24"/>
        </w:rPr>
        <w:t>1</w:t>
      </w:r>
      <w:r w:rsidRPr="001A1DC4">
        <w:rPr>
          <w:rFonts w:ascii="Book Antiqua" w:hAnsi="Book Antiqua"/>
          <w:sz w:val="24"/>
          <w:szCs w:val="24"/>
        </w:rPr>
        <w:t xml:space="preserve"> </w:t>
      </w:r>
      <w:r>
        <w:rPr>
          <w:rFonts w:ascii="Book Antiqua" w:hAnsi="Book Antiqua"/>
          <w:sz w:val="24"/>
          <w:szCs w:val="24"/>
        </w:rPr>
        <w:t>July</w:t>
      </w:r>
      <w:r w:rsidRPr="001A1DC4">
        <w:rPr>
          <w:rFonts w:ascii="Book Antiqua" w:hAnsi="Book Antiqua"/>
          <w:sz w:val="24"/>
          <w:szCs w:val="24"/>
        </w:rPr>
        <w:t xml:space="preserve"> 202</w:t>
      </w:r>
      <w:r>
        <w:rPr>
          <w:rFonts w:ascii="Book Antiqua" w:hAnsi="Book Antiqua"/>
          <w:sz w:val="24"/>
          <w:szCs w:val="24"/>
        </w:rPr>
        <w:t>6,</w:t>
      </w:r>
    </w:p>
    <w:p w14:paraId="625BF1E4" w14:textId="3AED8DE8" w:rsidR="00E33B67" w:rsidRDefault="00D9697C" w:rsidP="00D9697C">
      <w:pPr>
        <w:pStyle w:val="NoSpacing"/>
        <w:jc w:val="center"/>
        <w:rPr>
          <w:rFonts w:ascii="Book Antiqua" w:hAnsi="Book Antiqua"/>
          <w:sz w:val="24"/>
          <w:szCs w:val="24"/>
        </w:rPr>
      </w:pPr>
      <w:r w:rsidRPr="001A1DC4">
        <w:rPr>
          <w:rFonts w:ascii="Book Antiqua" w:hAnsi="Book Antiqua"/>
          <w:sz w:val="24"/>
          <w:szCs w:val="24"/>
        </w:rPr>
        <w:t>Published on</w:t>
      </w:r>
      <w:r>
        <w:rPr>
          <w:rFonts w:ascii="Book Antiqua" w:hAnsi="Book Antiqua"/>
          <w:sz w:val="24"/>
          <w:szCs w:val="24"/>
        </w:rPr>
        <w:t xml:space="preserve"> </w:t>
      </w:r>
      <w:r>
        <w:rPr>
          <w:rFonts w:ascii="Book Antiqua" w:hAnsi="Book Antiqua"/>
          <w:sz w:val="24"/>
          <w:szCs w:val="24"/>
        </w:rPr>
        <w:t>1</w:t>
      </w:r>
      <w:r w:rsidRPr="001A1DC4">
        <w:rPr>
          <w:rFonts w:ascii="Book Antiqua" w:hAnsi="Book Antiqua"/>
          <w:sz w:val="24"/>
          <w:szCs w:val="24"/>
        </w:rPr>
        <w:t xml:space="preserve"> </w:t>
      </w:r>
      <w:r>
        <w:rPr>
          <w:rFonts w:ascii="Book Antiqua" w:hAnsi="Book Antiqua"/>
          <w:sz w:val="24"/>
          <w:szCs w:val="24"/>
        </w:rPr>
        <w:t>August</w:t>
      </w:r>
      <w:r w:rsidRPr="001A1DC4">
        <w:rPr>
          <w:rFonts w:ascii="Book Antiqua" w:hAnsi="Book Antiqua"/>
          <w:sz w:val="24"/>
          <w:szCs w:val="24"/>
        </w:rPr>
        <w:t xml:space="preserve"> 202</w:t>
      </w:r>
      <w:r>
        <w:rPr>
          <w:rFonts w:ascii="Book Antiqua" w:hAnsi="Book Antiqua"/>
          <w:sz w:val="24"/>
          <w:szCs w:val="24"/>
        </w:rPr>
        <w:t>6</w:t>
      </w:r>
    </w:p>
    <w:p w14:paraId="63CCF24E" w14:textId="77777777" w:rsidR="00E33B67" w:rsidRDefault="00E33B67" w:rsidP="00E33B67">
      <w:pPr>
        <w:pStyle w:val="NoSpacing"/>
        <w:jc w:val="center"/>
        <w:rPr>
          <w:rFonts w:ascii="Book Antiqua" w:hAnsi="Book Antiqua"/>
          <w:sz w:val="24"/>
          <w:szCs w:val="24"/>
        </w:rPr>
      </w:pPr>
    </w:p>
    <w:p w14:paraId="61BB2A46" w14:textId="375AF2EA" w:rsidR="00DA2872" w:rsidRDefault="00257C12" w:rsidP="00DA2872">
      <w:pPr>
        <w:pStyle w:val="NoSpacing"/>
        <w:jc w:val="both"/>
        <w:rPr>
          <w:rFonts w:ascii="Book Antiqua" w:eastAsia="Times New Roman" w:hAnsi="Book Antiqua"/>
          <w:sz w:val="24"/>
          <w:szCs w:val="24"/>
        </w:rPr>
      </w:pPr>
      <w:r w:rsidRPr="00C3555D">
        <w:rPr>
          <w:rFonts w:ascii="Book Antiqua" w:hAnsi="Book Antiqua"/>
          <w:b/>
          <w:bCs/>
          <w:color w:val="000000"/>
          <w:sz w:val="24"/>
          <w:szCs w:val="24"/>
        </w:rPr>
        <w:t>Abstract:</w:t>
      </w:r>
      <w:r w:rsidR="00E33B67">
        <w:rPr>
          <w:rFonts w:ascii="Book Antiqua" w:hAnsi="Book Antiqua"/>
          <w:b/>
          <w:bCs/>
          <w:color w:val="000000"/>
          <w:sz w:val="24"/>
          <w:szCs w:val="24"/>
        </w:rPr>
        <w:t xml:space="preserve"> </w:t>
      </w:r>
      <w:r w:rsidR="00E33B67" w:rsidRPr="00E33B67">
        <w:rPr>
          <w:rFonts w:ascii="Book Antiqua" w:eastAsia="Times New Roman" w:hAnsi="Book Antiqua"/>
          <w:sz w:val="24"/>
          <w:szCs w:val="24"/>
        </w:rPr>
        <w:t>Elementary school students may experience difficulty maintaining concentration, retaining information, and recalling recently learned material. This study aimed to develop Run Ping-Pong Ball game media and evaluate its validity and practicality as a tool for training memory skills in classical guidance services. The study employed a Research and Development approach using the 4D model, limited to the Define, Design, and Develop stages. Participants were 26 fourth-grade students at SD Swasta Al-Mukmin. Data were collected through interviews, observations, expert-validation questionnaires, a guidance counselor response questionnaire, and a student response questionnaire. The needs analysis indicated problems related to attention, short-term recall, concentration, and information retention, as well as a preference for active and experience-based media. The media expert awarded a validity score of 84%, and the material expert awarded 93.33%, placing the product in the highly valid category. The guidance counselor</w:t>
      </w:r>
      <w:r w:rsidR="008018ED">
        <w:rPr>
          <w:rFonts w:ascii="Book Antiqua" w:eastAsia="Times New Roman" w:hAnsi="Book Antiqua"/>
          <w:sz w:val="24"/>
          <w:szCs w:val="24"/>
        </w:rPr>
        <w:t>’</w:t>
      </w:r>
      <w:r w:rsidR="00E33B67" w:rsidRPr="00E33B67">
        <w:rPr>
          <w:rFonts w:ascii="Book Antiqua" w:eastAsia="Times New Roman" w:hAnsi="Book Antiqua"/>
          <w:sz w:val="24"/>
          <w:szCs w:val="24"/>
        </w:rPr>
        <w:t>s practicality score was 94%, while the students</w:t>
      </w:r>
      <w:r w:rsidR="008018ED">
        <w:rPr>
          <w:rFonts w:ascii="Book Antiqua" w:eastAsia="Times New Roman" w:hAnsi="Book Antiqua"/>
          <w:sz w:val="24"/>
          <w:szCs w:val="24"/>
        </w:rPr>
        <w:t>’</w:t>
      </w:r>
      <w:r w:rsidR="00E33B67" w:rsidRPr="00E33B67">
        <w:rPr>
          <w:rFonts w:ascii="Book Antiqua" w:eastAsia="Times New Roman" w:hAnsi="Book Antiqua"/>
          <w:sz w:val="24"/>
          <w:szCs w:val="24"/>
        </w:rPr>
        <w:t xml:space="preserve"> response score was 82.46%, indicating high practicality. The developed game combines physical movement, sequential instructions, and information recall in an enjoyable activity. These findings demonstrate that the product is feasible for limited use in classical guidance services. However, effectiveness in improving memory was not measured and should be examined through experimental research.</w:t>
      </w:r>
    </w:p>
    <w:p w14:paraId="2DD88B0B" w14:textId="77777777" w:rsidR="00DA2872" w:rsidRDefault="00DA2872" w:rsidP="00DA2872">
      <w:pPr>
        <w:pStyle w:val="NoSpacing"/>
        <w:jc w:val="both"/>
        <w:rPr>
          <w:rFonts w:ascii="Book Antiqua" w:eastAsia="Times New Roman" w:hAnsi="Book Antiqua"/>
          <w:sz w:val="24"/>
          <w:szCs w:val="24"/>
        </w:rPr>
      </w:pPr>
    </w:p>
    <w:p w14:paraId="597D17CB" w14:textId="5AA5CBEA" w:rsidR="00DA2872" w:rsidRDefault="009A7091" w:rsidP="00DA2872">
      <w:pPr>
        <w:pStyle w:val="NoSpacing"/>
        <w:jc w:val="both"/>
        <w:rPr>
          <w:rFonts w:ascii="Book Antiqua" w:eastAsia="Times New Roman" w:hAnsi="Book Antiqua"/>
          <w:sz w:val="24"/>
          <w:szCs w:val="24"/>
        </w:rPr>
      </w:pPr>
      <w:r w:rsidRPr="00C3555D">
        <w:rPr>
          <w:rFonts w:ascii="Book Antiqua" w:hAnsi="Book Antiqua"/>
          <w:b/>
          <w:bCs/>
          <w:color w:val="000000"/>
          <w:sz w:val="24"/>
          <w:szCs w:val="24"/>
        </w:rPr>
        <w:t>Keywords</w:t>
      </w:r>
      <w:r w:rsidRPr="00DA2872">
        <w:rPr>
          <w:rFonts w:ascii="Book Antiqua" w:hAnsi="Book Antiqua"/>
          <w:b/>
          <w:sz w:val="24"/>
          <w:szCs w:val="24"/>
          <w:lang w:val="sv-SE"/>
        </w:rPr>
        <w:t>:</w:t>
      </w:r>
      <w:r w:rsidRPr="00DA2872">
        <w:rPr>
          <w:rFonts w:ascii="Book Antiqua" w:hAnsi="Book Antiqua"/>
          <w:sz w:val="24"/>
          <w:szCs w:val="24"/>
          <w:lang w:val="sv-SE"/>
        </w:rPr>
        <w:t xml:space="preserve"> </w:t>
      </w:r>
      <w:r w:rsidR="00D9697C" w:rsidRPr="00DA2872">
        <w:rPr>
          <w:rFonts w:ascii="Book Antiqua" w:eastAsia="Times New Roman" w:hAnsi="Book Antiqua"/>
          <w:sz w:val="24"/>
          <w:szCs w:val="24"/>
        </w:rPr>
        <w:t>Classical Guidance, Game Media, Memory Skills, Ping-Pong</w:t>
      </w:r>
      <w:r w:rsidR="00D70C7B">
        <w:rPr>
          <w:rFonts w:ascii="Book Antiqua" w:eastAsia="Times New Roman" w:hAnsi="Book Antiqua"/>
          <w:sz w:val="24"/>
          <w:szCs w:val="24"/>
        </w:rPr>
        <w:t xml:space="preserve"> Ball Game</w:t>
      </w:r>
    </w:p>
    <w:p w14:paraId="30F176A0" w14:textId="77777777" w:rsidR="00DA2872" w:rsidRDefault="00DA2872" w:rsidP="00DA2872">
      <w:pPr>
        <w:pStyle w:val="NoSpacing"/>
        <w:jc w:val="both"/>
        <w:rPr>
          <w:rFonts w:ascii="Book Antiqua" w:eastAsia="Times New Roman" w:hAnsi="Book Antiqua"/>
          <w:sz w:val="24"/>
          <w:szCs w:val="24"/>
        </w:rPr>
      </w:pPr>
    </w:p>
    <w:p w14:paraId="6DE7BEE8" w14:textId="77777777" w:rsidR="00DA2872" w:rsidRPr="00DA2872" w:rsidRDefault="009A7091" w:rsidP="00DA2872">
      <w:pPr>
        <w:pStyle w:val="NoSpacing"/>
        <w:numPr>
          <w:ilvl w:val="0"/>
          <w:numId w:val="13"/>
        </w:numPr>
        <w:jc w:val="both"/>
        <w:rPr>
          <w:rFonts w:ascii="Book Antiqua" w:eastAsia="Times New Roman" w:hAnsi="Book Antiqua"/>
          <w:sz w:val="24"/>
          <w:szCs w:val="24"/>
        </w:rPr>
      </w:pPr>
      <w:r w:rsidRPr="00DA2872">
        <w:rPr>
          <w:rFonts w:ascii="Book Antiqua" w:hAnsi="Book Antiqua"/>
          <w:b/>
          <w:bCs/>
          <w:color w:val="000000"/>
          <w:sz w:val="24"/>
          <w:szCs w:val="24"/>
          <w:lang w:val="id-ID"/>
        </w:rPr>
        <w:t>Introduction</w:t>
      </w:r>
    </w:p>
    <w:p w14:paraId="32F1D514" w14:textId="77777777" w:rsidR="00DA2872" w:rsidRDefault="00DA2872" w:rsidP="00DA2872">
      <w:pPr>
        <w:pStyle w:val="NoSpacing"/>
        <w:jc w:val="both"/>
        <w:rPr>
          <w:rFonts w:ascii="Book Antiqua" w:hAnsi="Book Antiqua"/>
          <w:b/>
          <w:bCs/>
          <w:color w:val="000000"/>
          <w:sz w:val="24"/>
          <w:szCs w:val="24"/>
          <w:lang w:val="id-ID"/>
        </w:rPr>
      </w:pPr>
    </w:p>
    <w:p w14:paraId="6C798C27" w14:textId="6E93B0C8" w:rsidR="00E33B67" w:rsidRPr="00DA2872" w:rsidRDefault="00E33B67" w:rsidP="00DA2872">
      <w:pPr>
        <w:pStyle w:val="NoSpacing"/>
        <w:jc w:val="both"/>
        <w:rPr>
          <w:rFonts w:ascii="Book Antiqua" w:hAnsi="Book Antiqua"/>
          <w:sz w:val="24"/>
          <w:szCs w:val="24"/>
        </w:rPr>
      </w:pPr>
      <w:r w:rsidRPr="00DA2872">
        <w:rPr>
          <w:rFonts w:ascii="Book Antiqua" w:hAnsi="Book Antiqua"/>
          <w:sz w:val="24"/>
          <w:szCs w:val="24"/>
        </w:rPr>
        <w:t>Memory is the cognitive ability to receive, encode, store, and retrieve information or experiences so that they can be used in later situations. This ability is closely connected with perception, attention, and prior experience. In learning, information is initially registered through the senses, processed in working memory, and retained through repeated use, meaningful connections, and retrieval. Therefore, memory is not a passive storage system; it is an active process that allows students to understand lessons, follow instructions, and apply previously learned information.</w:t>
      </w:r>
    </w:p>
    <w:p w14:paraId="37531268" w14:textId="77777777" w:rsidR="00DA2872" w:rsidRDefault="00DA2872" w:rsidP="00DA2872">
      <w:pPr>
        <w:pStyle w:val="NoSpacing"/>
        <w:jc w:val="both"/>
        <w:rPr>
          <w:rFonts w:ascii="Book Antiqua" w:hAnsi="Book Antiqua"/>
          <w:sz w:val="24"/>
          <w:szCs w:val="24"/>
        </w:rPr>
      </w:pPr>
    </w:p>
    <w:p w14:paraId="0E029893" w14:textId="762BF120" w:rsidR="00E33B67" w:rsidRPr="00DA2872" w:rsidRDefault="00E33B67" w:rsidP="00DA2872">
      <w:pPr>
        <w:pStyle w:val="NoSpacing"/>
        <w:jc w:val="both"/>
        <w:rPr>
          <w:rFonts w:ascii="Book Antiqua" w:hAnsi="Book Antiqua"/>
          <w:sz w:val="24"/>
          <w:szCs w:val="24"/>
        </w:rPr>
      </w:pPr>
      <w:r w:rsidRPr="00DA2872">
        <w:rPr>
          <w:rFonts w:ascii="Book Antiqua" w:hAnsi="Book Antiqua"/>
          <w:sz w:val="24"/>
          <w:szCs w:val="24"/>
        </w:rPr>
        <w:lastRenderedPageBreak/>
        <w:t>In elementary education, memory skills are essential because students are expected to retain explanations, remember procedures, connect new material with previous knowledge, and recall information during assignments and assessments. Students with stronger memory skills are generally better able to follow classroom activities and use what they have learned. Nevertheless, some students forget material soon after it is presented, have difficulty repeating instructions, and struggle to connect earlier lessons with new content. These problems may reduce comprehension, participation, and confidence in learning</w:t>
      </w:r>
      <w:r w:rsidR="00A454ED">
        <w:rPr>
          <w:rFonts w:ascii="Book Antiqua" w:hAnsi="Book Antiqua"/>
          <w:sz w:val="24"/>
          <w:szCs w:val="24"/>
        </w:rPr>
        <w:t xml:space="preserve"> </w:t>
      </w:r>
      <w:r w:rsidR="00A454ED">
        <w:rPr>
          <w:rFonts w:ascii="Book Antiqua" w:hAnsi="Book Antiqua"/>
          <w:sz w:val="24"/>
          <w:szCs w:val="24"/>
        </w:rPr>
        <w:fldChar w:fldCharType="begin" w:fldLock="1"/>
      </w:r>
      <w:r w:rsidR="00A454ED">
        <w:rPr>
          <w:rFonts w:ascii="Book Antiqua" w:hAnsi="Book Antiqua"/>
          <w:sz w:val="24"/>
          <w:szCs w:val="24"/>
        </w:rPr>
        <w:instrText>ADDIN CSL_CITATION {"citationItems":[{"id":"ITEM-1","itemData":{"DOI":"10.1186/s41239-023-00430-5","ISSN":"23659440","abstract":"Flipped learning has garnered substantial attention as a potential means to enhance student engagement, improve learning outcomes, and adapt to the evolving educational landscape. However, despite the growing interest and potential benefits of flipped learning, several challenges and areas of concern persist. This systematic literature review critically examines the implementation of the flipped classroom in higher education by focusing on the role of technologies and tools, pedagogical activities and courses, and existing challenges. Using a systematic approach, a total of 30 research articles published between 2014 and 2023 were chosen for the review. This study identified video creation tools, learning management systems (LMS), content repositories, collaborative platforms, podcasts, and online assessment tools as technologies that play a central role in the flipped classroom. Moreover, this study identifies specific pedagogical activities within different courses that contribute to the effectiveness of flipped learning in higher education. The implementation challenges that teachers and students may face in the flipped classroom were presented, and potential strategies to alleviate these challenges were provided. This study will contribute to a more comprehensive understanding of flipped learning's benefits, technologies and tools, challenges, and potential to improve higher education.","author":[{"dropping-particle":"","family":"Baig","given":"Maria Ijaz","non-dropping-particle":"","parse-names":false,"suffix":""},{"dropping-particle":"","family":"Yadegaridehkordi","given":"Elaheh","non-dropping-particle":"","parse-names":false,"suffix":""}],"container-title":"International Journal of Educational Technology in Higher Education","id":"ITEM-1","issue":"1","issued":{"date-parts":[["2023"]]},"publisher":"Springer International Publishing","title":"Flipped classroom in higher education: a systematic literature review and research challenges","type":"article-journal","volume":"20"},"uris":["http://www.mendeley.com/documents/?uuid=57244940-03ed-4276-b5fb-c5b0ebf8d7a5"]}],"mendeley":{"formattedCitation":"(Baig &amp; Yadegaridehkordi, 2023)","plainTextFormattedCitation":"(Baig &amp; Yadegaridehkordi, 2023)","previouslyFormattedCitation":"(Baig &amp; Yadegaridehkordi, 2023)"},"properties":{"noteIndex":0},"schema":"https://github.com/citation-style-language/schema/raw/master/csl-citation.json"}</w:instrText>
      </w:r>
      <w:r w:rsidR="00A454ED">
        <w:rPr>
          <w:rFonts w:ascii="Book Antiqua" w:hAnsi="Book Antiqua"/>
          <w:sz w:val="24"/>
          <w:szCs w:val="24"/>
        </w:rPr>
        <w:fldChar w:fldCharType="separate"/>
      </w:r>
      <w:r w:rsidR="00A454ED" w:rsidRPr="00A454ED">
        <w:rPr>
          <w:rFonts w:ascii="Book Antiqua" w:hAnsi="Book Antiqua"/>
          <w:noProof/>
          <w:sz w:val="24"/>
          <w:szCs w:val="24"/>
        </w:rPr>
        <w:t>(Baig &amp; Yadegaridehkordi, 2023)</w:t>
      </w:r>
      <w:r w:rsidR="00A454ED">
        <w:rPr>
          <w:rFonts w:ascii="Book Antiqua" w:hAnsi="Book Antiqua"/>
          <w:sz w:val="24"/>
          <w:szCs w:val="24"/>
        </w:rPr>
        <w:fldChar w:fldCharType="end"/>
      </w:r>
      <w:r w:rsidRPr="00DA2872">
        <w:rPr>
          <w:rFonts w:ascii="Book Antiqua" w:hAnsi="Book Antiqua"/>
          <w:sz w:val="24"/>
          <w:szCs w:val="24"/>
        </w:rPr>
        <w:t>.</w:t>
      </w:r>
    </w:p>
    <w:p w14:paraId="5BB045E3" w14:textId="77777777" w:rsidR="00DA2872" w:rsidRDefault="00DA2872" w:rsidP="00DA2872">
      <w:pPr>
        <w:pStyle w:val="NoSpacing"/>
        <w:jc w:val="both"/>
        <w:rPr>
          <w:rFonts w:ascii="Book Antiqua" w:hAnsi="Book Antiqua"/>
          <w:sz w:val="24"/>
          <w:szCs w:val="24"/>
        </w:rPr>
      </w:pPr>
    </w:p>
    <w:p w14:paraId="14A4022B" w14:textId="553395E3" w:rsidR="00E33B67" w:rsidRPr="00DA2872" w:rsidRDefault="00E33B67" w:rsidP="00DA2872">
      <w:pPr>
        <w:pStyle w:val="NoSpacing"/>
        <w:jc w:val="both"/>
        <w:rPr>
          <w:rFonts w:ascii="Book Antiqua" w:hAnsi="Book Antiqua"/>
          <w:sz w:val="24"/>
          <w:szCs w:val="24"/>
        </w:rPr>
      </w:pPr>
      <w:r w:rsidRPr="00DA2872">
        <w:rPr>
          <w:rFonts w:ascii="Book Antiqua" w:hAnsi="Book Antiqua"/>
          <w:sz w:val="24"/>
          <w:szCs w:val="24"/>
        </w:rPr>
        <w:t>Working-memory limitations can make it difficult for children to hold and process information simultaneously. Learning environments that rely heavily on lectures, copying, and repetitive written tasks may also reduce attention and engagement</w:t>
      </w:r>
      <w:r w:rsidR="00A454ED">
        <w:rPr>
          <w:rFonts w:ascii="Book Antiqua" w:hAnsi="Book Antiqua"/>
          <w:sz w:val="24"/>
          <w:szCs w:val="24"/>
        </w:rPr>
        <w:t xml:space="preserve"> </w:t>
      </w:r>
      <w:r w:rsidR="00A454ED">
        <w:rPr>
          <w:rFonts w:ascii="Book Antiqua" w:hAnsi="Book Antiqua"/>
          <w:sz w:val="24"/>
          <w:szCs w:val="24"/>
        </w:rPr>
        <w:fldChar w:fldCharType="begin" w:fldLock="1"/>
      </w:r>
      <w:r w:rsidR="009D17D1">
        <w:rPr>
          <w:rFonts w:ascii="Book Antiqua" w:hAnsi="Book Antiqua"/>
          <w:sz w:val="24"/>
          <w:szCs w:val="24"/>
        </w:rPr>
        <w:instrText>ADDIN CSL_CITATION {"citationItems":[{"id":"ITEM-1","itemData":{"DOI":"10.1007/s10734-024-01389-6","ISBN":"1073402401","ISSN":"1573174X","abstract":"This study investigates the role of neurodivergent (ND) students’ voices in shaping educational experiences and engagement in higher education (HE). There is a significant gap in the literature on incorporating ND students’ voices in curriculum design in HE. By integrating Universal Design for Learning (UDL) elements, this study aimed to enhance cognitive and emotional engagement among ND and neurotypical (NT) students. This study utilised a combination of quantitative and qualitative research methods. Quantitative data were collected over 8 weeks, transitioning from traditional lecture-based teaching to UDL-enhanced sessions. Our findings reveal that UDL strategies benefit ND and NT students, improving their cognitive and emotional engagement. Qualitative results highlighted that traditional lectures often lacked engagement, while interactive activities were generally preferred. However, too much interactivity, particularly in group discussions, was sometimes overwhelming. ND students preferred anonymous, technology-driven interactions and practical tasks, allowing them to participate more effectively in learning. This study underlines the importance of incorporating ND student voices in curriculum design to create supportive and empowering educational environments for all students. By addressing the unique needs of ND students, this research contributes to the ongoing discourse on student voice in HE, emphasising the need for flexible and inclusive teaching practices that offer diverse learning preferences.","author":[{"dropping-particle":"","family":"Durgungoz","given":"Fatma Canan","non-dropping-particle":"","parse-names":false,"suffix":""},{"dropping-particle":"","family":"Durgungoz","given":"Ahmet","non-dropping-particle":"","parse-names":false,"suffix":""}],"container-title":"Higher Education","id":"ITEM-1","issue":"0123456789","issued":{"date-parts":[["2025"]]},"publisher":"Springer Netherlands","title":"“Interactive lessons are great, but too much is too much”: Hearing out neurodivergent students, Universal Design for Learning and the case for integrating more anonymous technology in higher education","type":"article-journal"},"uris":["http://www.mendeley.com/documents/?uuid=f34f882b-8659-40f2-9755-bd737c8622c1"]}],"mendeley":{"formattedCitation":"(Durgungoz &amp; Durgungoz, 2025)","plainTextFormattedCitation":"(Durgungoz &amp; Durgungoz, 2025)","previouslyFormattedCitation":"(Durgungoz &amp; Durgungoz, 2025)"},"properties":{"noteIndex":0},"schema":"https://github.com/citation-style-language/schema/raw/master/csl-citation.json"}</w:instrText>
      </w:r>
      <w:r w:rsidR="00A454ED">
        <w:rPr>
          <w:rFonts w:ascii="Book Antiqua" w:hAnsi="Book Antiqua"/>
          <w:sz w:val="24"/>
          <w:szCs w:val="24"/>
        </w:rPr>
        <w:fldChar w:fldCharType="separate"/>
      </w:r>
      <w:r w:rsidR="00A454ED" w:rsidRPr="00A454ED">
        <w:rPr>
          <w:rFonts w:ascii="Book Antiqua" w:hAnsi="Book Antiqua"/>
          <w:noProof/>
          <w:sz w:val="24"/>
          <w:szCs w:val="24"/>
        </w:rPr>
        <w:t>(Durgungoz &amp; Durgungoz, 2025)</w:t>
      </w:r>
      <w:r w:rsidR="00A454ED">
        <w:rPr>
          <w:rFonts w:ascii="Book Antiqua" w:hAnsi="Book Antiqua"/>
          <w:sz w:val="24"/>
          <w:szCs w:val="24"/>
        </w:rPr>
        <w:fldChar w:fldCharType="end"/>
      </w:r>
      <w:r w:rsidRPr="00DA2872">
        <w:rPr>
          <w:rFonts w:ascii="Book Antiqua" w:hAnsi="Book Antiqua"/>
          <w:sz w:val="24"/>
          <w:szCs w:val="24"/>
        </w:rPr>
        <w:t>. When students remain passive for long periods, they may become bored, lose concentration, and process information less effectively. For this reason, elementary learning and guidance activities need varied media that encourage active participation, repetition, and purposeful recall.</w:t>
      </w:r>
    </w:p>
    <w:p w14:paraId="0BE30F94" w14:textId="77777777" w:rsidR="00DA2872" w:rsidRDefault="00DA2872" w:rsidP="00DA2872">
      <w:pPr>
        <w:pStyle w:val="NoSpacing"/>
        <w:jc w:val="both"/>
        <w:rPr>
          <w:rFonts w:ascii="Book Antiqua" w:hAnsi="Book Antiqua"/>
          <w:sz w:val="24"/>
          <w:szCs w:val="24"/>
        </w:rPr>
      </w:pPr>
    </w:p>
    <w:p w14:paraId="72F3D906" w14:textId="264D6107" w:rsidR="00E33B67" w:rsidRPr="00DA2872" w:rsidRDefault="00E33B67" w:rsidP="00DA2872">
      <w:pPr>
        <w:pStyle w:val="NoSpacing"/>
        <w:jc w:val="both"/>
        <w:rPr>
          <w:rFonts w:ascii="Book Antiqua" w:hAnsi="Book Antiqua"/>
          <w:sz w:val="24"/>
          <w:szCs w:val="24"/>
        </w:rPr>
      </w:pPr>
      <w:r w:rsidRPr="00DA2872">
        <w:rPr>
          <w:rFonts w:ascii="Book Antiqua" w:hAnsi="Book Antiqua"/>
          <w:sz w:val="24"/>
          <w:szCs w:val="24"/>
        </w:rPr>
        <w:t>An initial interview with the guidance and counseling teacher at SD Swasta Al-Mukmin indicated that several fourth-grade students had difficulty remembering lesson content even shortly after instruction. The teacher also reported that students were easily distracted, had difficulty maintaining focus, and often needed instructions to be repeated. Other factors identified in the school context included excessive gadget use, limited study review at home, insufficient parental support, inadequate sleep, and a lack of variation in teaching activities. These observations suggest that memory problems are influenced by both cognitive and environmental conditions</w:t>
      </w:r>
      <w:r w:rsidR="009D17D1">
        <w:rPr>
          <w:rFonts w:ascii="Book Antiqua" w:hAnsi="Book Antiqua"/>
          <w:sz w:val="24"/>
          <w:szCs w:val="24"/>
        </w:rPr>
        <w:t xml:space="preserve"> </w:t>
      </w:r>
      <w:r w:rsidR="009D17D1">
        <w:rPr>
          <w:rFonts w:ascii="Book Antiqua" w:hAnsi="Book Antiqua"/>
          <w:sz w:val="24"/>
          <w:szCs w:val="24"/>
        </w:rPr>
        <w:fldChar w:fldCharType="begin" w:fldLock="1"/>
      </w:r>
      <w:r w:rsidR="004F143E">
        <w:rPr>
          <w:rFonts w:ascii="Book Antiqua" w:hAnsi="Book Antiqua"/>
          <w:sz w:val="24"/>
          <w:szCs w:val="24"/>
        </w:rPr>
        <w:instrText>ADDIN CSL_CITATION {"citationItems":[{"id":"ITEM-1","itemData":{"DOI":"10.1186/s40168-021-01172-0","ISSN":"20492618","PMID":"34758889","abstract":"Background: Cognitive impairment, an increasing mental health issue, is a core feature of the aging brain and neurodegenerative diseases. Industrialized nations especially, have experienced a marked decrease in dietary fiber intake, but the potential mechanism linking low fiber intake and cognitive impairment is poorly understood. Emerging research reported that the diversity of gut microbiota in Western populations is significantly reduced. However, it is unknown whether a fiber-deficient diet (which alters gut microbiota) could impair cognition and brain functional elements through the gut-brain axis. Results: In this study, a mouse model of long-term (15 weeks) dietary fiber deficiency (FD) was used to mimic a sustained low fiber intake in humans. We found that FD mice showed impaired cognition, including deficits in object location memory, temporal order memory, and the ability to perform daily living activities. The hippocampal synaptic ultrastructure was damaged in FD mice, characterized by widened synaptic clefts and thinned postsynaptic densities. A hippocampal proteomic analysis further identified a deficit of CaMKIId and its associated synaptic proteins (including GAP43 and SV2C) in the FD mice, along with neuroinflammation and microglial engulfment of synapses. The FD mice also exhibited gut microbiota dysbiosis (decreased Bacteroidetes and increased Proteobacteria), which was significantly associated with the cognitive deficits. Of note, a rapid differentiating microbiota change was observed in the mice with a short-term FD diet (7 days) before cognitive impairment, highlighting a possible causal impact of the gut microbiota profile on cognitive outcomes. Moreover, the FD diet compromised the intestinal barrier and reduced short-chain fatty acid (SCFA) production. We exploit these findings for SCFA receptor knockout mice and oral SCFA supplementation that verified SCFA playing a critical role linking the altered gut microbiota and cognitive impairment. Conclusions: This study, for the first time, reports that a fiber-deprived diet leads to cognitive impairment through altering the gut microbiota-hippocampal axis, which is pathologically distinct from normal brain aging. These findings alert the adverse impact of dietary fiber deficiency on brain function, and highlight an increase in fiber intake as a nutritional strategy to reduce the risk of developing diet-associated cognitive decline and neurodegenerative diseases. [MediaObject not avail…","author":[{"dropping-particle":"","family":"Shi","given":"Hongli","non-dropping-particle":"","parse-names":false,"suffix":""},{"dropping-particle":"","family":"Ge","given":"Xing","non-dropping-particle":"","parse-names":false,"suffix":""},{"dropping-particle":"","family":"Ma","given":"Xi","non-dropping-particle":"","parse-names":false,"suffix":""},{"dropping-particle":"","family":"Zheng","given":"Mingxuan","non-dropping-particle":"","parse-names":false,"suffix":""},{"dropping-particle":"","family":"Cui","given":"Xiaoying","non-dropping-particle":"","parse-names":false,"suffix":""},{"dropping-particle":"","family":"Pan","given":"Wei","non-dropping-particle":"","parse-names":false,"suffix":""},{"dropping-particle":"","family":"Zheng","given":"Peng","non-dropping-particle":"","parse-names":false,"suffix":""},{"dropping-particle":"","family":"Yang","given":"Xiaoying","non-dropping-particle":"","parse-names":false,"suffix":""},{"dropping-particle":"","family":"Zhang","given":"Peng","non-dropping-particle":"","parse-names":false,"suffix":""},{"dropping-particle":"","family":"Hu","given":"Minmin","non-dropping-particle":"","parse-names":false,"suffix":""},{"dropping-particle":"","family":"Hu","given":"Tao","non-dropping-particle":"","parse-names":false,"suffix":""},{"dropping-particle":"","family":"Tang","given":"Renxian","non-dropping-particle":"","parse-names":false,"suffix":""},{"dropping-particle":"","family":"Zheng","given":"Kuiyang","non-dropping-particle":"","parse-names":false,"suffix":""},{"dropping-particle":"","family":"Huang","given":"Xu Feng","non-dropping-particle":"","parse-names":false,"suffix":""},{"dropping-particle":"","family":"Yu","given":"Yinghua","non-dropping-particle":"","parse-names":false,"suffix":""}],"container-title":"Microbiome","id":"ITEM-1","issue":"1","issued":{"date-parts":[["2021"]]},"page":"1-20","title":"A fiber-deprived diet causes cognitive impairment and hippocampal microglia-mediated synaptic loss through the gut microbiota and metabolites","type":"article-journal","volume":"9"},"uris":["http://www.mendeley.com/documents/?uuid=b564c9cb-4a86-4843-a30b-e8b12cca6070"]},{"id":"ITEM-2","itemData":{"DOI":"10.1186/s40168-022-01452-3","ISSN":"20492618","PMID":"36721179","abstract":"Background: Sleep loss is a serious global health concern. Consequences include memory deficits and gastrointestinal dysfunction. Our previous research showed that melatonin can effectively improve cognitive impairment and intestinal microbiota disturbances caused by sleep deprivation (SD). The present study further explored the mechanism by which exogenous melatonin prevents SD-induced cognitive impairments. Here, we established fecal microbiota transplantation, Aeromonas colonization and LPS or butyrate supplementation tests to evaluate the role of the intestinal microbiota and its metabolites in melatonin in alleviating SD-induced memory impairment. Results: Transplantation of the SD-gut microbiota into normal mice induced microglia overactivation and neuronal apoptosis in the hippocampus, cognitive decline, and colonic microbiota disorder, manifesting as increased levels of Aeromonas and LPS and decreased levels of Lachnospiraceae_NK4A136 and butyrate. All these events were reversed with the transplantation of SD + melatonin-gut microbiota. Colonization with Aeromonas and the addition of LPS produced an inflammatory response in the hippocampus and spatial memory impairment in mice. These changes were reversed by supplementation with melatonin, accompanied by decreased levels of Aeromonas and LPS. Butyrate administration to sleep-deprived mice restored inflammatory responses and memory impairment. In vitro, LPS supplementation caused an inflammatory response in BV2 cells, which was improved by butyrate supplementation. This ameliorative effect of butyrate was blocked by pretreatment with MCT1 inhibitor and HDAC3 agonist but was mimicked by TLR4 and p-P65 antagonists. Conclusions: Gut microbes and their metabolites mediate the ameliorative effects of melatonin on SD-induced cognitive impairment. A feasible mechanism is that melatonin downregulates the levels of Aeromonas and constituent LPS and upregulates the levels of Lachnospiraceae_NK4A136 and butyrate in the colon. These changes lessen the inflammatory response and neuronal apoptosis in the hippocampus through crosstalk between the TLR4/NF-κB and MCT1/ HDAC3 signaling pathways. [MediaObject not available: see fulltext.].","author":[{"dropping-particle":"","family":"Wang","given":"Xintong","non-dropping-particle":"","parse-names":false,"suffix":""},{"dropping-particle":"","family":"Wang","given":"Zixu","non-dropping-particle":"","parse-names":false,"suffix":""},{"dropping-particle":"","family":"Cao","given":"Jing","non-dropping-particle":"","parse-names":false,"suffix":""},{"dropping-particle":"","family":"Dong","given":"Yulan","non-dropping-particle":"","parse-names":false,"suffix":""},{"dropping-particle":"","family":"Chen","given":"Yaoxing","non-dropping-particle":"","parse-names":false,"suffix":""}],"container-title":"Microbiome","id":"ITEM-2","issue":"1","issued":{"date-parts":[["2023"]]},"page":"1-23","publisher":"BioMed Central","title":"Gut microbiota-derived metabolites mediate the neuroprotective effect of melatonin in cognitive impairment induced by sleep deprivation","type":"article-journal","volume":"11"},"uris":["http://www.mendeley.com/documents/?uuid=8084d244-e6e1-4839-bf8c-3e699498b0b3"]}],"mendeley":{"formattedCitation":"(Shi et al., 2021; Wang et al., 2023)","plainTextFormattedCitation":"(Shi et al., 2021; Wang et al., 2023)","previouslyFormattedCitation":"(Shi et al., 2021; Wang et al., 2023)"},"properties":{"noteIndex":0},"schema":"https://github.com/citation-style-language/schema/raw/master/csl-citation.json"}</w:instrText>
      </w:r>
      <w:r w:rsidR="009D17D1">
        <w:rPr>
          <w:rFonts w:ascii="Book Antiqua" w:hAnsi="Book Antiqua"/>
          <w:sz w:val="24"/>
          <w:szCs w:val="24"/>
        </w:rPr>
        <w:fldChar w:fldCharType="separate"/>
      </w:r>
      <w:r w:rsidR="009D17D1" w:rsidRPr="009D17D1">
        <w:rPr>
          <w:rFonts w:ascii="Book Antiqua" w:hAnsi="Book Antiqua"/>
          <w:noProof/>
          <w:sz w:val="24"/>
          <w:szCs w:val="24"/>
        </w:rPr>
        <w:t>(Shi et al., 2021; Wang et al., 2023)</w:t>
      </w:r>
      <w:r w:rsidR="009D17D1">
        <w:rPr>
          <w:rFonts w:ascii="Book Antiqua" w:hAnsi="Book Antiqua"/>
          <w:sz w:val="24"/>
          <w:szCs w:val="24"/>
        </w:rPr>
        <w:fldChar w:fldCharType="end"/>
      </w:r>
      <w:r w:rsidRPr="00DA2872">
        <w:rPr>
          <w:rFonts w:ascii="Book Antiqua" w:hAnsi="Book Antiqua"/>
          <w:sz w:val="24"/>
          <w:szCs w:val="24"/>
        </w:rPr>
        <w:t>.</w:t>
      </w:r>
    </w:p>
    <w:p w14:paraId="4F3F00A4" w14:textId="77777777" w:rsidR="00DA2872" w:rsidRDefault="00DA2872" w:rsidP="00DA2872">
      <w:pPr>
        <w:pStyle w:val="NoSpacing"/>
        <w:jc w:val="both"/>
        <w:rPr>
          <w:rFonts w:ascii="Book Antiqua" w:hAnsi="Book Antiqua"/>
          <w:sz w:val="24"/>
          <w:szCs w:val="24"/>
        </w:rPr>
      </w:pPr>
    </w:p>
    <w:p w14:paraId="0FD9BE3C" w14:textId="7C1909D8" w:rsidR="00E33B67" w:rsidRPr="00DA2872" w:rsidRDefault="00E33B67" w:rsidP="00DA2872">
      <w:pPr>
        <w:pStyle w:val="NoSpacing"/>
        <w:jc w:val="both"/>
        <w:rPr>
          <w:rFonts w:ascii="Book Antiqua" w:hAnsi="Book Antiqua"/>
          <w:sz w:val="24"/>
          <w:szCs w:val="24"/>
        </w:rPr>
      </w:pPr>
      <w:r w:rsidRPr="00DA2872">
        <w:rPr>
          <w:rFonts w:ascii="Book Antiqua" w:hAnsi="Book Antiqua"/>
          <w:sz w:val="24"/>
          <w:szCs w:val="24"/>
        </w:rPr>
        <w:t>Guidance and counseling services can support students not only in addressing personal and social concerns but also in developing learning-related skills. Classical guidance is delivered to all students in a class through structured activities designed around their developmental needs. In this context, a guidance counselor can provide experiences that strengthen attention, concentration, self-regulation, and learning habits. To achieve these goals, the service should use media that involve students actively rather than positioning them only as recipients of information</w:t>
      </w:r>
      <w:r w:rsidR="004F143E">
        <w:rPr>
          <w:rFonts w:ascii="Book Antiqua" w:hAnsi="Book Antiqua"/>
          <w:sz w:val="24"/>
          <w:szCs w:val="24"/>
        </w:rPr>
        <w:t xml:space="preserve"> </w:t>
      </w:r>
      <w:r w:rsidR="004F143E">
        <w:rPr>
          <w:rFonts w:ascii="Book Antiqua" w:hAnsi="Book Antiqua"/>
          <w:sz w:val="24"/>
          <w:szCs w:val="24"/>
        </w:rPr>
        <w:fldChar w:fldCharType="begin" w:fldLock="1"/>
      </w:r>
      <w:r w:rsidR="00F33077">
        <w:rPr>
          <w:rFonts w:ascii="Book Antiqua" w:hAnsi="Book Antiqua"/>
          <w:sz w:val="24"/>
          <w:szCs w:val="24"/>
        </w:rPr>
        <w:instrText>ADDIN CSL_CITATION {"citationItems":[{"id":"ITEM-1","itemData":{"DOI":"10.1007/s10643-026-02198-5","ISBN":"1064302602","ISSN":"15731707","abstract":"This study employed netnography across two early childhood education services that used the Storypark platform to explore how educator-family relationships are enacted through digital communication. Although Storypark is designed to foster collaboration and partnerships, this study indicates that its affordances do not consistently translate into practice. Analysis of digital posts and family interviews revealed that educators primarily used the platform for one-way information sharing—such as announcements and documentation of children’s learning—rather than reciprocal dialogue or co-construction of meaning. Families demonstrated greater engagement when educator communication was personalised, underscoring the relational value of human voice over platform features. Drawing on an ecological systems theory and behaviour setting theory lens, this disconnect highlights tensions between the platform’s intended relational function and its everyday use. While digital platforms hold significant potential to extend intersetting knowledge between home and early childhood contexts, this potential is not self-activating. Intentional framing, recognition of familial voice, and dedicated time for reciprocal practices are essential. The findings signal a need for professional learning that positions digital communication as a pedagogical and relational practice rather than a compliance task. Bridging this gap could transform platforms like Storypark into spaces of authentic connection, shared meaning-making, and mutual knowledge exchange.","author":[{"dropping-particle":"","family":"Singleton","given":"Janine","non-dropping-particle":"","parse-names":false,"suffix":""},{"dropping-particle":"","family":"Kervin","given":"Lisa","non-dropping-particle":"","parse-names":false,"suffix":""},{"dropping-particle":"","family":"Neilsen-Hewett","given":"Cathrine","non-dropping-particle":"","parse-names":false,"suffix":""}],"container-title":"Early Childhood Education Journal","id":"ITEM-1","issued":{"date-parts":[["2026"]]},"title":"Digital Platforms and Relational Practice: A Netnographic Study of Educator-Family Communication","type":"article-journal"},"uris":["http://www.mendeley.com/documents/?uuid=bdcbaf10-af69-4833-bb3f-37b733a37851"]},{"id":"ITEM-2","itemData":{"DOI":"10.1080/03057925.2023.2234283","ISSN":"14693623","abstract":"The rapid expansion of neo-liberal regimes has effectively transformed how students–their role and purpose–are understood in society. Scholars, especially in the Anglophone North, have shown how dominant policy narratives tend to position students as consumers. More recent studies have begun to explore students’ views of this construction. However, much of this work focuses on a particular country; thus, how students’ opinions may vary across contexts remains largely underexamined. Redressing this gap, this article explores students’ perspectives on being constructed as consumers in Denmark, England, and Spain. It discusses similarities and differences across and within these countries. The paper shows that most students find this construction profoundly problematic and counter to the ideals of education as a public good. Yet, different, often contrasting, themes from students’ narratives signify the relevance of the funding regime and the level of stratification within HE sectors in shaping students’ understanding of consumerist discourse across Europe.","author":[{"dropping-particle":"","family":"Gupta","given":"Achala","non-dropping-particle":"","parse-names":false,"suffix":""},{"dropping-particle":"","family":"Brooks","given":"Rachel","non-dropping-particle":"","parse-names":false,"suffix":""},{"dropping-particle":"","family":"Abrahams","given":"Jessie","non-dropping-particle":"","parse-names":false,"suffix":""}],"container-title":"Compare","id":"ITEM-2","issue":"2","issued":{"date-parts":[["2025"]]},"page":"174-191","publisher":"Routledge","title":"Higher education students as consumers: a cross-country comparative analysis of students’ views","type":"article-journal","volume":"55"},"uris":["http://www.mendeley.com/documents/?uuid=78b2ed17-5d65-4788-85fe-6d47e8824e51"]}],"mendeley":{"formattedCitation":"(A. Gupta et al., 2025; Singleton et al., 2026)","plainTextFormattedCitation":"(A. Gupta et al., 2025; Singleton et al., 2026)","previouslyFormattedCitation":"(A. Gupta et al., 2025; Singleton et al., 2026)"},"properties":{"noteIndex":0},"schema":"https://github.com/citation-style-language/schema/raw/master/csl-citation.json"}</w:instrText>
      </w:r>
      <w:r w:rsidR="004F143E">
        <w:rPr>
          <w:rFonts w:ascii="Book Antiqua" w:hAnsi="Book Antiqua"/>
          <w:sz w:val="24"/>
          <w:szCs w:val="24"/>
        </w:rPr>
        <w:fldChar w:fldCharType="separate"/>
      </w:r>
      <w:r w:rsidR="00F33077" w:rsidRPr="00F33077">
        <w:rPr>
          <w:rFonts w:ascii="Book Antiqua" w:hAnsi="Book Antiqua"/>
          <w:noProof/>
          <w:sz w:val="24"/>
          <w:szCs w:val="24"/>
        </w:rPr>
        <w:t>(A. Gupta et al., 2025; Singleton et al., 2026)</w:t>
      </w:r>
      <w:r w:rsidR="004F143E">
        <w:rPr>
          <w:rFonts w:ascii="Book Antiqua" w:hAnsi="Book Antiqua"/>
          <w:sz w:val="24"/>
          <w:szCs w:val="24"/>
        </w:rPr>
        <w:fldChar w:fldCharType="end"/>
      </w:r>
      <w:r w:rsidRPr="00DA2872">
        <w:rPr>
          <w:rFonts w:ascii="Book Antiqua" w:hAnsi="Book Antiqua"/>
          <w:sz w:val="24"/>
          <w:szCs w:val="24"/>
        </w:rPr>
        <w:t>.</w:t>
      </w:r>
    </w:p>
    <w:p w14:paraId="4012C249" w14:textId="77777777" w:rsidR="00DA2872" w:rsidRDefault="00DA2872" w:rsidP="00DA2872">
      <w:pPr>
        <w:pStyle w:val="NoSpacing"/>
        <w:jc w:val="both"/>
        <w:rPr>
          <w:rFonts w:ascii="Book Antiqua" w:hAnsi="Book Antiqua"/>
          <w:sz w:val="24"/>
          <w:szCs w:val="24"/>
        </w:rPr>
      </w:pPr>
    </w:p>
    <w:p w14:paraId="2F63AB6F" w14:textId="0E3A41DD" w:rsidR="00E33B67" w:rsidRPr="00DA2872" w:rsidRDefault="00E33B67" w:rsidP="00DA2872">
      <w:pPr>
        <w:pStyle w:val="NoSpacing"/>
        <w:jc w:val="both"/>
        <w:rPr>
          <w:rFonts w:ascii="Book Antiqua" w:hAnsi="Book Antiqua"/>
          <w:sz w:val="24"/>
          <w:szCs w:val="24"/>
        </w:rPr>
      </w:pPr>
      <w:r w:rsidRPr="00DA2872">
        <w:rPr>
          <w:rFonts w:ascii="Book Antiqua" w:hAnsi="Book Antiqua"/>
          <w:sz w:val="24"/>
          <w:szCs w:val="24"/>
        </w:rPr>
        <w:t>Games offer an appropriate medium for elementary school students because they combine rules, goals, challenges, movement, and immediate feedback. A well-designed educational game can direct attention, require students to remember sequences, and provide opportunities to repeat information in an enjoyable context. Physical movement may also increase engagement and help students remain focused during the activity. However, a game should not be treated merely as entertainment; its components must be intentionally connected with the targeted skill</w:t>
      </w:r>
      <w:r w:rsidR="0018057D">
        <w:rPr>
          <w:rFonts w:ascii="Book Antiqua" w:hAnsi="Book Antiqua"/>
          <w:sz w:val="24"/>
          <w:szCs w:val="24"/>
        </w:rPr>
        <w:t xml:space="preserve"> </w:t>
      </w:r>
      <w:r w:rsidR="0018057D">
        <w:rPr>
          <w:rFonts w:ascii="Book Antiqua" w:hAnsi="Book Antiqua"/>
          <w:sz w:val="24"/>
          <w:szCs w:val="24"/>
        </w:rPr>
        <w:fldChar w:fldCharType="begin" w:fldLock="1"/>
      </w:r>
      <w:r w:rsidR="008B73DA">
        <w:rPr>
          <w:rFonts w:ascii="Book Antiqua" w:hAnsi="Book Antiqua"/>
          <w:sz w:val="24"/>
          <w:szCs w:val="24"/>
        </w:rPr>
        <w:instrText>ADDIN CSL_CITATION {"citationItems":[{"id":"ITEM-1","itemData":{"DOI":"10.1177/16094069221128491","ISSN":"16094069","abstract":"Entertainment digital games (EDGs) can be used to promote real-world-relevant learning, even if they have not been specifically designed for educational purposes. This is especially true for EDGs that engage players in contexts that mimic real-world problem scenarios and support the development of knowledge and skills that can be transferred to out-of-game contexts. In these cases, gameplay learning can be a very effective means of promoting those cognitive capabilities that are central to addressing real-world challenges requiring complex problem-solving (CPS), but at the same time are particularly difficult to foster through formal educational environments and approaches. However, what features of EDGs can simultaneously promote player enjoyment and CPS processes, which specific CPS skills can be fostered, and by which mechanisms, are questions that remain largely unanswered in the current literature. This paper presents a protocol for a systematic review that aims to address this gap by examining relevant analysis and design frameworks for entertainment games. Selected frameworks will be reviewed by combining a game-centric and a player- centric perspective to identify structural elements of gameplay environments and tasks that may affect psychological processes relevant to the promotion of CPS capabilities. To this end, each framework will be subjected to a formal content analysis in which data will be extracted, coded, and analyzed based on the Work System Theory (WST) and the Cognitive Work Analysis (CWS) frameworks. The main outcome of the proposed systematic review will be a knowledge base that can help researchers, developers and practitioners to select the most appropriate methodological frameworks for the analysis and design of entertainment games capable of promoting CPS skills through gameplay learning. In addition, this protocol can also inform and guide further reviews of methods for analyzing and designing educational games.","author":[{"dropping-particle":"","family":"Gyaurov","given":"Dimitar","non-dropping-particle":"","parse-names":false,"suffix":""},{"dropping-particle":"","family":"Fabricatore","given":"Carlo","non-dropping-particle":"","parse-names":false,"suffix":""},{"dropping-particle":"","family":"Bottino","given":"Andrea","non-dropping-particle":"","parse-names":false,"suffix":""}],"container-title":"International Journal of Qualitative Methods","id":"ITEM-1","issued":{"date-parts":[["2022"]]},"page":"1-9","title":"Features of Entertainment Digital Games for Learning and Developing Complex Problem-Solving Skills: A Protocol for a Systemic Review","type":"article-journal","volume":"21"},"uris":["http://www.mendeley.com/documents/?uuid=39b7c6ac-e43f-4ce5-a16b-aa63415679f5"]},{"id":"ITEM-2","itemData":{"DOI":"10.1186/s44158-023-00118-2","ISSN":"27313786","abstract":"Unlike traditional video games developed solely for entertainment purposes, game-based learning employs intentionally crafted approaches that seamlessly merge entertainment and educational content, resulting in captivating and effective learning encounters. These pedagogical methods include serious video games and gamification. Serious games are video games utilized as tools for acquiring crucial (serious) knowledge and skills. On the other hand, gamification requires integrating gaming elements (game mechanics) such as points, leaderboards, missions, levels, rewards, and more, into a context that may not be associated with video gaming activities. They can be dynamically (game dynamics) combined developing various strategic approaches. Operatively, gamification adopts simulation elements and leverages the interactive nature of gaming to teach players specific skills, convey knowledge, or address real-world issues. External incentives stimulate internal motivation. Therefore, these techniques place the learners in the central role, allowing them to actively construct knowledge through firsthand experiences. Anesthesia, pain medicine, and critical care demand a delicate interplay of technical competence and non-technical proficiencies. Gamification techniques can offer advantages to both domains. Game-based modalities provide a dynamic, interactive, and highly effective opportunity to learn, practice, and improve both technical and non-technical skills, enriching the overall proficiency of anesthesia professionals. These properties are crucial in a discipline where personal skills, human factors, and the influence of stressors significantly impact daily work activities. Furthermore, gamification can also be embraced for patient education to enhance comfort and compliance, particularly within pediatric settings (game-based distraction), and in pain medicine through stress management techniques. On these bases, the creation of effective gamification tools for anesthesiologists can present a formidable opportunity for users and developers. This narrative review comprehensively examines the intricate aspects of gamification and its potentially transformative influence on the fields of anesthesiology. It delves into theoretical frameworks, potential advantages in education and training, integration with artificial intelligence systems and immersive techniques, and also addresses the challenges that could arise within these contexts.","author":[{"dropping-particle":"","family":"Cascella","given":"Marco","non-dropping-particle":"","parse-names":false,"suffix":""},{"dropping-particle":"","family":"Cascella","given":"Andrea","non-dropping-particle":"","parse-names":false,"suffix":""},{"dropping-particle":"","family":"Monaco","given":"Federica","non-dropping-particle":"","parse-names":false,"suffix":""},{"dropping-particle":"","family":"Shariff","given":"Mohammed Naveed","non-dropping-particle":"","parse-names":false,"suffix":""}],"container-title":"Journal of Anesthesia, Analgesia and Critical Care","id":"ITEM-2","issue":"1","issued":{"date-parts":[["2023"]]},"publisher":"BioMed Central","title":"Envisioning gamification in anesthesia, pain management, and critical care: basic principles, integration of artificial intelligence, and simulation strategies","type":"article-journal","volume":"3"},"uris":["http://www.mendeley.com/documents/?uuid=3212680a-5873-4c22-8066-6cd7c0cb7d35"]}],"mendeley":{"formattedCitation":"(Cascella et al., 2023; Gyaurov et al., 2022)","plainTextFormattedCitation":"(Cascella et al., 2023; Gyaurov et al., 2022)","previouslyFormattedCitation":"(Cascella et al., 2023; Gyaurov et al., 2022)"},"properties":{"noteIndex":0},"schema":"https://github.com/citation-style-language/schema/raw/master/csl-citation.json"}</w:instrText>
      </w:r>
      <w:r w:rsidR="0018057D">
        <w:rPr>
          <w:rFonts w:ascii="Book Antiqua" w:hAnsi="Book Antiqua"/>
          <w:sz w:val="24"/>
          <w:szCs w:val="24"/>
        </w:rPr>
        <w:fldChar w:fldCharType="separate"/>
      </w:r>
      <w:r w:rsidR="0018057D" w:rsidRPr="0018057D">
        <w:rPr>
          <w:rFonts w:ascii="Book Antiqua" w:hAnsi="Book Antiqua"/>
          <w:noProof/>
          <w:sz w:val="24"/>
          <w:szCs w:val="24"/>
        </w:rPr>
        <w:t>(Cascella et al., 2023; Gyaurov et al., 2022)</w:t>
      </w:r>
      <w:r w:rsidR="0018057D">
        <w:rPr>
          <w:rFonts w:ascii="Book Antiqua" w:hAnsi="Book Antiqua"/>
          <w:sz w:val="24"/>
          <w:szCs w:val="24"/>
        </w:rPr>
        <w:fldChar w:fldCharType="end"/>
      </w:r>
      <w:r w:rsidRPr="00DA2872">
        <w:rPr>
          <w:rFonts w:ascii="Book Antiqua" w:hAnsi="Book Antiqua"/>
          <w:sz w:val="24"/>
          <w:szCs w:val="24"/>
        </w:rPr>
        <w:t>.</w:t>
      </w:r>
    </w:p>
    <w:p w14:paraId="1DB49E8A" w14:textId="18A731E3" w:rsidR="00E33B67" w:rsidRPr="00DA2872" w:rsidRDefault="00E33B67" w:rsidP="00DA2872">
      <w:pPr>
        <w:pStyle w:val="NoSpacing"/>
        <w:jc w:val="both"/>
        <w:rPr>
          <w:rFonts w:ascii="Book Antiqua" w:hAnsi="Book Antiqua"/>
          <w:sz w:val="24"/>
          <w:szCs w:val="24"/>
        </w:rPr>
      </w:pPr>
      <w:r w:rsidRPr="00DA2872">
        <w:rPr>
          <w:rFonts w:ascii="Book Antiqua" w:hAnsi="Book Antiqua"/>
          <w:sz w:val="24"/>
          <w:szCs w:val="24"/>
        </w:rPr>
        <w:lastRenderedPageBreak/>
        <w:t>Previous learning-media development has frequently used cards, audiovisual materials, songs, movement, and storytelling to support memory. These approaches indicate that active, multisensory experiences can help students attend to and recall information</w:t>
      </w:r>
      <w:r w:rsidR="008B73DA">
        <w:rPr>
          <w:rFonts w:ascii="Book Antiqua" w:hAnsi="Book Antiqua"/>
          <w:sz w:val="24"/>
          <w:szCs w:val="24"/>
        </w:rPr>
        <w:t xml:space="preserve"> </w:t>
      </w:r>
      <w:r w:rsidR="008B73DA">
        <w:rPr>
          <w:rFonts w:ascii="Book Antiqua" w:hAnsi="Book Antiqua"/>
          <w:sz w:val="24"/>
          <w:szCs w:val="24"/>
        </w:rPr>
        <w:fldChar w:fldCharType="begin" w:fldLock="1"/>
      </w:r>
      <w:r w:rsidR="00A622D5">
        <w:rPr>
          <w:rFonts w:ascii="Book Antiqua" w:hAnsi="Book Antiqua"/>
          <w:sz w:val="24"/>
          <w:szCs w:val="24"/>
        </w:rPr>
        <w:instrText>ADDIN CSL_CITATION {"citationItems":[{"id":"ITEM-1","itemData":{"DOI":"10.1080/10494820.2024.2427277","ISSN":"17445191","abstract":"The spreading of digital tools for learning has been impressive in later years. Some attempts have been made to augment traditional tools with digital solutions, still offering the chance to propose multisensory stimulation and interactivity. In this context, the aim of this study is to strengthen the importance of a multisensorial approach as a key factor in the development of learning devices in educational settings. We focused on investigating if there was a significant difference in knowledge retention when adding to the learning experience the stimulation of increasingly more sensorial channels using tangible interfaces. Results indicate that children recall more information if the interface is enhanced through multisensory materials including auditory, visual, and olfactory stimuli. This effect is even stronger when the time between exposition and recall is longer. This study supports the potential of merging digital and physical elements in educational materials to foster learning, in particular, it adds new data supporting the use of the sense of smell to improve memory retention.","author":[{"dropping-particle":"","family":"Fuccio","given":"Raffaele","non-dropping-particle":"Di","parse-names":false,"suffix":""},{"dropping-particle":"","family":"Ponticorvo","given":"Michela","non-dropping-particle":"","parse-names":false,"suffix":""},{"dropping-particle":"","family":"Nadim","given":"Muhammad Amin","non-dropping-particle":"","parse-names":false,"suffix":""},{"dropping-particle":"","family":"Limone","given":"Pierpaolo","non-dropping-particle":"","parse-names":false,"suffix":""}],"container-title":"Interactive Learning Environments","id":"ITEM-1","issue":"4","issued":{"date-parts":[["2025"]]},"page":"2928-2938","publisher":"Taylor &amp; Francis","title":"Exploring the effect of digital and multisensory educational materials on retention in primary school using Tangible User Interfaces","type":"article-journal","volume":"33"},"uris":["http://www.mendeley.com/documents/?uuid=9cfb1dc4-39d0-4f6b-9882-c5a0aa6b53d5"]}],"mendeley":{"formattedCitation":"(Di Fuccio et al., 2025)","plainTextFormattedCitation":"(Di Fuccio et al., 2025)","previouslyFormattedCitation":"(Di Fuccio et al., 2025)"},"properties":{"noteIndex":0},"schema":"https://github.com/citation-style-language/schema/raw/master/csl-citation.json"}</w:instrText>
      </w:r>
      <w:r w:rsidR="008B73DA">
        <w:rPr>
          <w:rFonts w:ascii="Book Antiqua" w:hAnsi="Book Antiqua"/>
          <w:sz w:val="24"/>
          <w:szCs w:val="24"/>
        </w:rPr>
        <w:fldChar w:fldCharType="separate"/>
      </w:r>
      <w:r w:rsidR="008B73DA" w:rsidRPr="008B73DA">
        <w:rPr>
          <w:rFonts w:ascii="Book Antiqua" w:hAnsi="Book Antiqua"/>
          <w:noProof/>
          <w:sz w:val="24"/>
          <w:szCs w:val="24"/>
        </w:rPr>
        <w:t>(Di Fuccio et al., 2025)</w:t>
      </w:r>
      <w:r w:rsidR="008B73DA">
        <w:rPr>
          <w:rFonts w:ascii="Book Antiqua" w:hAnsi="Book Antiqua"/>
          <w:sz w:val="24"/>
          <w:szCs w:val="24"/>
        </w:rPr>
        <w:fldChar w:fldCharType="end"/>
      </w:r>
      <w:r w:rsidRPr="00DA2872">
        <w:rPr>
          <w:rFonts w:ascii="Book Antiqua" w:hAnsi="Book Antiqua"/>
          <w:sz w:val="24"/>
          <w:szCs w:val="24"/>
        </w:rPr>
        <w:t>. Nevertheless, game media that combine physical activity, sequential instructions, concentration, and memory retrieval remain limited in classical guidance for elementary school students. This gap motivated the development of the Run Ping-Pong Ball game, in which students move along a prepared route, collect or transfer ping-pong balls, remember instructions, and recall information according to the rules of the activity.</w:t>
      </w:r>
    </w:p>
    <w:p w14:paraId="62083F93" w14:textId="77777777" w:rsidR="00DA2872" w:rsidRDefault="00DA2872" w:rsidP="00DA2872">
      <w:pPr>
        <w:pStyle w:val="NoSpacing"/>
        <w:jc w:val="both"/>
        <w:rPr>
          <w:rFonts w:ascii="Book Antiqua" w:hAnsi="Book Antiqua"/>
          <w:sz w:val="24"/>
          <w:szCs w:val="24"/>
        </w:rPr>
      </w:pPr>
    </w:p>
    <w:p w14:paraId="3532C61C" w14:textId="006798F8" w:rsidR="00E33B67" w:rsidRPr="00DA2872" w:rsidRDefault="00E33B67" w:rsidP="00DA2872">
      <w:pPr>
        <w:pStyle w:val="NoSpacing"/>
        <w:jc w:val="both"/>
        <w:rPr>
          <w:rFonts w:ascii="Book Antiqua" w:hAnsi="Book Antiqua"/>
          <w:sz w:val="24"/>
          <w:szCs w:val="24"/>
        </w:rPr>
      </w:pPr>
      <w:r w:rsidRPr="00DA2872">
        <w:rPr>
          <w:rFonts w:ascii="Book Antiqua" w:hAnsi="Book Antiqua"/>
          <w:sz w:val="24"/>
          <w:szCs w:val="24"/>
        </w:rPr>
        <w:t>The Run Ping-Pong Ball game was designed as an experiential medium rather than as a direct test of academic achievement. Its purpose is to create a structured activity in which students practice focusing on instructions, remembering sequences, retrieving information, and completing tasks under guidance. The product includes game equipment, safety procedures, implementation steps, and a guidebook for the counselor. The present study therefore focused on the development process and on evidence of validity and practicality before broader implementation</w:t>
      </w:r>
      <w:r w:rsidR="00A622D5">
        <w:rPr>
          <w:rFonts w:ascii="Book Antiqua" w:hAnsi="Book Antiqua"/>
          <w:sz w:val="24"/>
          <w:szCs w:val="24"/>
        </w:rPr>
        <w:t xml:space="preserve"> </w:t>
      </w:r>
      <w:r w:rsidR="00A622D5">
        <w:rPr>
          <w:rFonts w:ascii="Book Antiqua" w:hAnsi="Book Antiqua"/>
          <w:sz w:val="24"/>
          <w:szCs w:val="24"/>
        </w:rPr>
        <w:fldChar w:fldCharType="begin" w:fldLock="1"/>
      </w:r>
      <w:r w:rsidR="00F33077">
        <w:rPr>
          <w:rFonts w:ascii="Book Antiqua" w:hAnsi="Book Antiqua"/>
          <w:sz w:val="24"/>
          <w:szCs w:val="24"/>
        </w:rPr>
        <w:instrText>ADDIN CSL_CITATION {"citationItems":[{"id":"ITEM-1","itemData":{"DOI":"10.1007/s11136-020-02564-9","ISBN":"0123456789","ISSN":"15732649","PMID":"32651805","abstract":"Purpose: Patient-reported outcome and experience measures (PROMs/PREMs) are well established in research for many health conditions, but barriers persist for implementing them in routine care. Implementation science (IS) offers a potential way forward, but its application has been limited for PROMs/PREMs. Methods: We compare similarities and differences for widely used IS frameworks and their applicability for implementing PROMs/PREMs through case studies. Three case studies implemented PROMs: (1) pain clinics in Canada; (2) oncology clinics in Australia; and (3) pediatric/adult clinics for chronic conditions in the Netherlands. The fourth case study is planning PREMs implementation in Canadian primary care clinics. We compare case studies on barriers, enablers, implementation strategies, and evaluation. Results: Case studies used IS frameworks to systematize barriers, to develop implementation strategies for clinics, and to evaluate implementation effectiveness. Across case studies, consistent PROM/PREM implementation barriers were technology, uncertainty about how or why to use PROMs/PREMs, and competing demands from established clinical workflows. Enabling factors in clinics were context specific. Implementation support strategies changed during pre-implementation, implementation, and post-implementation stages. Evaluation approaches were inconsistent across case studies, and thus, we present example evaluation metrics specific to PROMs/PREMs. Conclusion: Multilevel IS frameworks are necessary for PROM/PREM implementation given the complexity. In cross-study comparisons, barriers to PROM/PREM implementation were consistent across patient populations and care settings, but enablers were context specific, suggesting the need for tailored implementation strategies based on clinic resources. Theoretically guided studies are needed to clarify how, why, and in what circumstances IS principles lead to successful PROM/PREM integration and sustainability.","author":[{"dropping-particle":"","family":"Stover","given":"Angela M.","non-dropping-particle":"","parse-names":false,"suffix":""},{"dropping-particle":"","family":"Haverman","given":"Lotte","non-dropping-particle":"","parse-names":false,"suffix":""},{"dropping-particle":"","family":"Oers","given":"Hedy A.","non-dropping-particle":"van","parse-names":false,"suffix":""},{"dropping-particle":"","family":"Greenhalgh","given":"Joanne","non-dropping-particle":"","parse-names":false,"suffix":""},{"dropping-particle":"","family":"Potter","given":"Caroline M.","non-dropping-particle":"","parse-names":false,"suffix":""},{"dropping-particle":"","family":"Ahmed","given":"Sara","non-dropping-particle":"","parse-names":false,"suffix":""},{"dropping-particle":"","family":"Gibbons","given":"Elizabeth","non-dropping-particle":"","parse-names":false,"suffix":""},{"dropping-particle":"","family":"Haverman","given":"Lotte","non-dropping-particle":"","parse-names":false,"suffix":""},{"dropping-particle":"","family":"Manalili","given":"Kimberly","non-dropping-particle":"","parse-names":false,"suffix":""},{"dropping-particle":"","family":"Potter","given":"Caroline","non-dropping-particle":"","parse-names":false,"suffix":""},{"dropping-particle":"","family":"Roberts","given":"Natasha","non-dropping-particle":"","parse-names":false,"suffix":""},{"dropping-particle":"","family":"Santana","given":"Maria","non-dropping-particle":"","parse-names":false,"suffix":""},{"dropping-particle":"","family":"Stover","given":"Angela M.","non-dropping-particle":"","parse-names":false,"suffix":""},{"dropping-particle":"","family":"Oers","given":"Hedy","non-dropping-particle":"van","parse-names":false,"suffix":""}],"container-title":"Quality of Life Research","id":"ITEM-1","issue":"11","issued":{"date-parts":[["2021"]]},"page":"3015-3033","title":"Using an implementation science approach to implement and evaluate patient-reported outcome measures (PROM) initiatives in routine care settings","type":"article-journal","volume":"30"},"uris":["http://www.mendeley.com/documents/?uuid=f385bca6-0d2b-40e2-a4df-3dc18c8c69b1"]},{"id":"ITEM-2","itemData":{"DOI":"10.1186/s13012-021-01171-7","ISSN":"17485908","PMID":"35086538","abstract":"Background: Implementation research may play an important role in reducing research waste by identifying strategies that support translation of evidence into practice. Implementation of healthcare interventions is influenced by multiple factors including the organisational context, implementation strategies and features of the intervention as perceived by people delivering and receiving the intervention. Recently, concepts relating to perceived features of interventions have been gaining traction in published literature, namely, acceptability, fidelity, feasibility, scalability and sustainability. These concepts may influence uptake of healthcare interventions, yet there seems to be little consensus about their nature and impact. The aim of this paper is to develop a testable conceptual framework of implementability of healthcare interventions that includes these five concepts. Methods: A multifaceted approach was used to develop and refine a conceptual framework of implementability of healthcare interventions. An overview of reviews identified reviews published between January 2000 and March 2021 that focused on at least one of the five concepts in relation to a healthcare intervention. These findings informed the development of a preliminary framework of implementability of healthcare interventions which was presented to a panel of experts. A nominal group process was used to critique, refine and agree on a final framework. Results: A total of 252 publications were included in the overview of reviews. Of these, 32% were found to be feasible, 4% reported sustainable changes in practice and 9% were scaled up to other populations and/or settings. The expert panel proposed that scalability and sustainability of a healthcare intervention are dependent on its acceptability, fidelity and feasibility. Furthermore, acceptability, fidelity and feasibility require re-evaluation over time and as the intervention is developed and then implemented in different settings or with different populations. The final agreed framework of implementability provides the basis for a chronological, iterative approach to planning for wide-scale, long-term implementation of healthcare interventions. Conclusions: We recommend that researchers consider the factors acceptability, fidelity and feasibility (proposed to influence sustainability and scalability) during the preliminary phases of intervention development, evaluation and implementation, and iteratively check these factors i…","author":[{"dropping-particle":"","family":"Klaic","given":"Marlena","non-dropping-particle":"","parse-names":false,"suffix":""},{"dropping-particle":"","family":"Kapp","given":"Suzanne","non-dropping-particle":"","parse-names":false,"suffix":""},{"dropping-particle":"","family":"Hudson","given":"Peter","non-dropping-particle":"","parse-names":false,"suffix":""},{"dropping-particle":"","family":"Chapman","given":"Wendy","non-dropping-particle":"","parse-names":false,"suffix":""},{"dropping-particle":"","family":"Denehy","given":"Linda","non-dropping-particle":"","parse-names":false,"suffix":""},{"dropping-particle":"","family":"Story","given":"David","non-dropping-particle":"","parse-names":false,"suffix":""},{"dropping-particle":"","family":"Francis","given":"Jill J.","non-dropping-particle":"","parse-names":false,"suffix":""}],"container-title":"Implementation Science","id":"ITEM-2","issue":"1","issued":{"date-parts":[["2022"]]},"page":"1-20","publisher":"BioMed Central","title":"Implementability of healthcare interventions: an overview of reviews and development of a conceptual framework","type":"article-journal","volume":"17"},"uris":["http://www.mendeley.com/documents/?uuid=6cada557-0c28-4b36-ab47-f15951e7ffea"]}],"mendeley":{"formattedCitation":"(Klaic et al., 2022; Stover et al., 2021)","plainTextFormattedCitation":"(Klaic et al., 2022; Stover et al., 2021)","previouslyFormattedCitation":"(Klaic et al., 2022; Stover et al., 2021)"},"properties":{"noteIndex":0},"schema":"https://github.com/citation-style-language/schema/raw/master/csl-citation.json"}</w:instrText>
      </w:r>
      <w:r w:rsidR="00A622D5">
        <w:rPr>
          <w:rFonts w:ascii="Book Antiqua" w:hAnsi="Book Antiqua"/>
          <w:sz w:val="24"/>
          <w:szCs w:val="24"/>
        </w:rPr>
        <w:fldChar w:fldCharType="separate"/>
      </w:r>
      <w:r w:rsidR="00A622D5" w:rsidRPr="00A622D5">
        <w:rPr>
          <w:rFonts w:ascii="Book Antiqua" w:hAnsi="Book Antiqua"/>
          <w:noProof/>
          <w:sz w:val="24"/>
          <w:szCs w:val="24"/>
        </w:rPr>
        <w:t>(Klaic et al., 2022; Stover et al., 2021)</w:t>
      </w:r>
      <w:r w:rsidR="00A622D5">
        <w:rPr>
          <w:rFonts w:ascii="Book Antiqua" w:hAnsi="Book Antiqua"/>
          <w:sz w:val="24"/>
          <w:szCs w:val="24"/>
        </w:rPr>
        <w:fldChar w:fldCharType="end"/>
      </w:r>
      <w:r w:rsidRPr="00DA2872">
        <w:rPr>
          <w:rFonts w:ascii="Book Antiqua" w:hAnsi="Book Antiqua"/>
          <w:sz w:val="24"/>
          <w:szCs w:val="24"/>
        </w:rPr>
        <w:t>.</w:t>
      </w:r>
    </w:p>
    <w:p w14:paraId="0AEA2AF4" w14:textId="77777777" w:rsidR="00DA2872" w:rsidRDefault="00DA2872" w:rsidP="00DA2872">
      <w:pPr>
        <w:pStyle w:val="NoSpacing"/>
        <w:jc w:val="both"/>
        <w:rPr>
          <w:rFonts w:ascii="Book Antiqua" w:hAnsi="Book Antiqua"/>
          <w:sz w:val="24"/>
          <w:szCs w:val="24"/>
        </w:rPr>
      </w:pPr>
    </w:p>
    <w:p w14:paraId="5800726A" w14:textId="72945069" w:rsidR="00EF0129" w:rsidRDefault="00E33B67" w:rsidP="00EF0129">
      <w:pPr>
        <w:pStyle w:val="NoSpacing"/>
        <w:jc w:val="both"/>
        <w:rPr>
          <w:rFonts w:ascii="Book Antiqua" w:hAnsi="Book Antiqua"/>
          <w:sz w:val="24"/>
          <w:szCs w:val="24"/>
        </w:rPr>
      </w:pPr>
      <w:r w:rsidRPr="00DA2872">
        <w:rPr>
          <w:rFonts w:ascii="Book Antiqua" w:hAnsi="Book Antiqua"/>
          <w:sz w:val="24"/>
          <w:szCs w:val="24"/>
        </w:rPr>
        <w:t xml:space="preserve">Based on </w:t>
      </w:r>
      <w:r w:rsidR="00D9697C">
        <w:rPr>
          <w:rFonts w:ascii="Book Antiqua" w:hAnsi="Book Antiqua"/>
          <w:sz w:val="24"/>
          <w:szCs w:val="24"/>
        </w:rPr>
        <w:t>above</w:t>
      </w:r>
      <w:r w:rsidRPr="00DA2872">
        <w:rPr>
          <w:rFonts w:ascii="Book Antiqua" w:hAnsi="Book Antiqua"/>
          <w:sz w:val="24"/>
          <w:szCs w:val="24"/>
        </w:rPr>
        <w:t xml:space="preserve"> background, the study addressed the following research questions: (1) What student and media needs support the development of the Run Ping-Pong Ball game? (2) How is the Run Ping-Pong Ball game developed through the Define, Design, and Develop stages? (3) What are the validity and practicality levels of the developed game media according to experts, a guidance counselor, and students?</w:t>
      </w:r>
    </w:p>
    <w:p w14:paraId="328E7AA9" w14:textId="77777777" w:rsidR="00EF0129" w:rsidRDefault="00EF0129" w:rsidP="00EF0129">
      <w:pPr>
        <w:pStyle w:val="NoSpacing"/>
        <w:jc w:val="both"/>
        <w:rPr>
          <w:rFonts w:ascii="Book Antiqua" w:hAnsi="Book Antiqua"/>
          <w:sz w:val="24"/>
          <w:szCs w:val="24"/>
        </w:rPr>
      </w:pPr>
    </w:p>
    <w:p w14:paraId="00F358ED" w14:textId="2F0F68C5" w:rsidR="004A618A" w:rsidRPr="00EF0129" w:rsidRDefault="009A7091" w:rsidP="00EF0129">
      <w:pPr>
        <w:pStyle w:val="NoSpacing"/>
        <w:numPr>
          <w:ilvl w:val="0"/>
          <w:numId w:val="13"/>
        </w:numPr>
        <w:jc w:val="both"/>
        <w:rPr>
          <w:rFonts w:ascii="Book Antiqua" w:hAnsi="Book Antiqua"/>
          <w:sz w:val="24"/>
          <w:szCs w:val="24"/>
        </w:rPr>
      </w:pPr>
      <w:r w:rsidRPr="00EF0129">
        <w:rPr>
          <w:rFonts w:ascii="Book Antiqua" w:hAnsi="Book Antiqua"/>
          <w:b/>
          <w:sz w:val="24"/>
          <w:szCs w:val="24"/>
        </w:rPr>
        <w:t>Methods</w:t>
      </w:r>
    </w:p>
    <w:p w14:paraId="43BBD42E" w14:textId="77777777" w:rsidR="004A618A" w:rsidRDefault="004A618A" w:rsidP="004A618A">
      <w:pPr>
        <w:widowControl w:val="0"/>
        <w:spacing w:after="0" w:line="240" w:lineRule="auto"/>
        <w:jc w:val="both"/>
        <w:outlineLvl w:val="0"/>
        <w:rPr>
          <w:rFonts w:ascii="Book Antiqua" w:hAnsi="Book Antiqua"/>
          <w:sz w:val="24"/>
          <w:szCs w:val="24"/>
        </w:rPr>
      </w:pPr>
    </w:p>
    <w:p w14:paraId="0CFB421E" w14:textId="3073DB3E" w:rsidR="00E33B67" w:rsidRPr="00EF0129" w:rsidRDefault="00E33B67" w:rsidP="00EF0129">
      <w:pPr>
        <w:pStyle w:val="NoSpacing"/>
        <w:jc w:val="both"/>
        <w:rPr>
          <w:rFonts w:ascii="Book Antiqua" w:hAnsi="Book Antiqua"/>
          <w:sz w:val="24"/>
          <w:szCs w:val="24"/>
        </w:rPr>
      </w:pPr>
      <w:r w:rsidRPr="00EF0129">
        <w:rPr>
          <w:rFonts w:ascii="Book Antiqua" w:hAnsi="Book Antiqua"/>
          <w:sz w:val="24"/>
          <w:szCs w:val="24"/>
        </w:rPr>
        <w:t>This study employed a Research and Development approach using the 4D model, which consists of Define, Design, Develop, and Disseminate. The study was limited to the Define, Design, and Develop stages because its purpose was to produce a preliminary product and examine its validity and practicality. The Disseminate stage and an experimental effectiveness test were not conducted</w:t>
      </w:r>
      <w:r w:rsidR="00F33077">
        <w:rPr>
          <w:rFonts w:ascii="Book Antiqua" w:hAnsi="Book Antiqua"/>
          <w:sz w:val="24"/>
          <w:szCs w:val="24"/>
        </w:rPr>
        <w:t xml:space="preserve"> </w:t>
      </w:r>
      <w:r w:rsidR="00F33077">
        <w:rPr>
          <w:rFonts w:ascii="Book Antiqua" w:hAnsi="Book Antiqua"/>
          <w:sz w:val="24"/>
          <w:szCs w:val="24"/>
        </w:rPr>
        <w:fldChar w:fldCharType="begin" w:fldLock="1"/>
      </w:r>
      <w:r w:rsidR="00F33077">
        <w:rPr>
          <w:rFonts w:ascii="Book Antiqua" w:hAnsi="Book Antiqua"/>
          <w:sz w:val="24"/>
          <w:szCs w:val="24"/>
        </w:rPr>
        <w:instrText>ADDIN CSL_CITATION {"citationItems":[{"id":"ITEM-1","itemData":{"DOI":"10.1080/01616846.2024.2445356","ISSN":"15411540","abstract":"This paper presents a strategic framework for librarians to ethically experiment with AI technologies, emphasizing data privacy and compliance. Developed through a consulting project, it categorizes library tasks based on frequency and data sharing needs, resulting in four AI experimentation strategies: Proactive Optimization, Controlled Experimentation, Opportunistic Experimentation, and Conservative Approach. Practical examples, like AI-assisted reference services for entrepreneurs, illustrate responsible experimentation without sensitive data sharing. The framework recommends documenting outcomes for evaluations and integrating Monitoring &amp; Evaluation (M&amp;E) to align AI experiments with library objectives, ensuring AI’s ethical and effective use in enhancing library services. This article suggests that to enhance the practical implementation of the proposed AI experimentation framework and policy in libraries, it is crucial to help librarians become familiar with identifying sensitive data, converting real data into synthetic data, and understanding the implications of sharing information with commercial large language model (LLM) service providers. It highlights the need for foundational training on data privacy, ethical AI practices, and risk assessment, offering solutions such as checklists, training programs, and knowledge-sharing platforms to empower library professionals.","author":[{"dropping-particle":"","family":"Gupta","given":"Varun","non-dropping-particle":"","parse-names":false,"suffix":""}],"container-title":"Public Library Quarterly","id":"ITEM-1","issue":"1","issued":{"date-parts":[["2026"]]},"page":"9-29","publisher":"Routledge","title":"AI Experimentation Policy for Libraries: Balancing Innovation and Data Privacy","type":"article-journal","volume":"45"},"uris":["http://www.mendeley.com/documents/?uuid=008bc90c-11f4-4169-9fd6-f2526caa1660"]}],"mendeley":{"formattedCitation":"(V. Gupta, 2026)","plainTextFormattedCitation":"(V. Gupta, 2026)","previouslyFormattedCitation":"(V. Gupta, 2026)"},"properties":{"noteIndex":0},"schema":"https://github.com/citation-style-language/schema/raw/master/csl-citation.json"}</w:instrText>
      </w:r>
      <w:r w:rsidR="00F33077">
        <w:rPr>
          <w:rFonts w:ascii="Book Antiqua" w:hAnsi="Book Antiqua"/>
          <w:sz w:val="24"/>
          <w:szCs w:val="24"/>
        </w:rPr>
        <w:fldChar w:fldCharType="separate"/>
      </w:r>
      <w:r w:rsidR="00F33077" w:rsidRPr="00F33077">
        <w:rPr>
          <w:rFonts w:ascii="Book Antiqua" w:hAnsi="Book Antiqua"/>
          <w:noProof/>
          <w:sz w:val="24"/>
          <w:szCs w:val="24"/>
        </w:rPr>
        <w:t>(V. Gupta, 2026)</w:t>
      </w:r>
      <w:r w:rsidR="00F33077">
        <w:rPr>
          <w:rFonts w:ascii="Book Antiqua" w:hAnsi="Book Antiqua"/>
          <w:sz w:val="24"/>
          <w:szCs w:val="24"/>
        </w:rPr>
        <w:fldChar w:fldCharType="end"/>
      </w:r>
      <w:r w:rsidRPr="00EF0129">
        <w:rPr>
          <w:rFonts w:ascii="Book Antiqua" w:hAnsi="Book Antiqua"/>
          <w:sz w:val="24"/>
          <w:szCs w:val="24"/>
        </w:rPr>
        <w:t>.</w:t>
      </w:r>
      <w:r w:rsidR="00D9697C">
        <w:rPr>
          <w:rFonts w:ascii="Book Antiqua" w:hAnsi="Book Antiqua"/>
          <w:sz w:val="24"/>
          <w:szCs w:val="24"/>
        </w:rPr>
        <w:t xml:space="preserve"> </w:t>
      </w:r>
      <w:r w:rsidRPr="00EF0129">
        <w:rPr>
          <w:rFonts w:ascii="Book Antiqua" w:hAnsi="Book Antiqua"/>
          <w:sz w:val="24"/>
          <w:szCs w:val="24"/>
        </w:rPr>
        <w:t>During the Define stage, the researchers identified student memory difficulties and the need for game-based media through semi-structured interviews, classroom observations, and needs questionnaires. During the Design stage, the findings were translated into product objectives, game rules, required materials, safety procedures, instructional sequences, and a guidebook</w:t>
      </w:r>
      <w:r w:rsidR="00F33077">
        <w:rPr>
          <w:rFonts w:ascii="Book Antiqua" w:hAnsi="Book Antiqua"/>
          <w:sz w:val="24"/>
          <w:szCs w:val="24"/>
        </w:rPr>
        <w:t xml:space="preserve"> </w:t>
      </w:r>
      <w:r w:rsidR="00F33077">
        <w:rPr>
          <w:rFonts w:ascii="Book Antiqua" w:hAnsi="Book Antiqua"/>
          <w:sz w:val="24"/>
          <w:szCs w:val="24"/>
        </w:rPr>
        <w:fldChar w:fldCharType="begin" w:fldLock="1"/>
      </w:r>
      <w:r w:rsidR="00F33077">
        <w:rPr>
          <w:rFonts w:ascii="Book Antiqua" w:hAnsi="Book Antiqua"/>
          <w:sz w:val="24"/>
          <w:szCs w:val="24"/>
        </w:rPr>
        <w:instrText>ADDIN CSL_CITATION {"citationItems":[{"id":"ITEM-1","itemData":{"DOI":"10.1186/s41239-023-00405-6","ISSN":"23659440","abstract":"Immersive learning technologies such as virtual reality (VR), augmented reality (AR) and educational digital games offer many benefits to teaching and learning. With their potential to immerse learners in realistic environments and facilitate higher-order cognitive learning, these technologies could be used to complement current classroom pedagogical practices. However, given that these learning environments differ from conventional classroom learning activities, current assessment practices may be insufficient for assessing learning in immersive environments. This paper develops the concept of a game-based assessment framework (GBAF) for educators interested in the assessment of learning in digital games, VR or AR. Importantly, this paper also presents the application of the framework to the design and implementation of assessments for a VR game during the game design phase. Grounded in the principles of Constructive Alignment and the Evidence-Centred Design (ECD) framework, this assessment framework describes the steps to consider for assessments and outlines the components that must be aligned for the design of assessments. To illustrate the application of the GBAF to the design of assessments for immersive learning environments, a stepwise design of assessments for a VR game is presented. The results of the outcome of the assessment of laboratory health and safety competencies of six engineering students is also presented. The GBAF offers simple and useful guidelines for the design of assessments around game tasks. It could serve as a structured basis for educators and researchers to design assessments to measure lower and higher-order cognitive learning in complex immersive environments.","author":[{"dropping-particle":"","family":"Udeozor","given":"Chioma","non-dropping-particle":"","parse-names":false,"suffix":""},{"dropping-particle":"","family":"Chan","given":"Philippe","non-dropping-particle":"","parse-names":false,"suffix":""},{"dropping-particle":"","family":"Russo Abegão","given":"Fernando","non-dropping-particle":"","parse-names":false,"suffix":""},{"dropping-particle":"","family":"Glassey","given":"Jarka","non-dropping-particle":"","parse-names":false,"suffix":""}],"container-title":"International Journal of Educational Technology in Higher Education","id":"ITEM-1","issue":"1","issued":{"date-parts":[["2023"]]},"publisher":"Springer International Publishing","title":"Game-based assessment framework for virtual reality, augmented reality and digital game-based learning","type":"article-journal","volume":"20"},"uris":["http://www.mendeley.com/documents/?uuid=788dc03e-9456-495a-8c06-046c0d827a74"]}],"mendeley":{"formattedCitation":"(Udeozor et al., 2023)","plainTextFormattedCitation":"(Udeozor et al., 2023)","previouslyFormattedCitation":"(Udeozor et al., 2023)"},"properties":{"noteIndex":0},"schema":"https://github.com/citation-style-language/schema/raw/master/csl-citation.json"}</w:instrText>
      </w:r>
      <w:r w:rsidR="00F33077">
        <w:rPr>
          <w:rFonts w:ascii="Book Antiqua" w:hAnsi="Book Antiqua"/>
          <w:sz w:val="24"/>
          <w:szCs w:val="24"/>
        </w:rPr>
        <w:fldChar w:fldCharType="separate"/>
      </w:r>
      <w:r w:rsidR="00F33077" w:rsidRPr="00F33077">
        <w:rPr>
          <w:rFonts w:ascii="Book Antiqua" w:hAnsi="Book Antiqua"/>
          <w:noProof/>
          <w:sz w:val="24"/>
          <w:szCs w:val="24"/>
        </w:rPr>
        <w:t>(Udeozor et al., 2023)</w:t>
      </w:r>
      <w:r w:rsidR="00F33077">
        <w:rPr>
          <w:rFonts w:ascii="Book Antiqua" w:hAnsi="Book Antiqua"/>
          <w:sz w:val="24"/>
          <w:szCs w:val="24"/>
        </w:rPr>
        <w:fldChar w:fldCharType="end"/>
      </w:r>
      <w:r w:rsidRPr="00EF0129">
        <w:rPr>
          <w:rFonts w:ascii="Book Antiqua" w:hAnsi="Book Antiqua"/>
          <w:sz w:val="24"/>
          <w:szCs w:val="24"/>
        </w:rPr>
        <w:t>. During the Develop stage, the prototype was reviewed by media and material experts, revised according to their recommendations, and subjected to limited practicality testing.</w:t>
      </w:r>
    </w:p>
    <w:p w14:paraId="2894ABBB" w14:textId="77777777" w:rsidR="00EF0129" w:rsidRDefault="00EF0129" w:rsidP="00EF0129">
      <w:pPr>
        <w:pStyle w:val="NoSpacing"/>
        <w:jc w:val="both"/>
        <w:rPr>
          <w:rFonts w:ascii="Book Antiqua" w:hAnsi="Book Antiqua"/>
          <w:sz w:val="24"/>
          <w:szCs w:val="24"/>
        </w:rPr>
      </w:pPr>
    </w:p>
    <w:p w14:paraId="1E2437EA" w14:textId="213FD32A" w:rsidR="00E33B67" w:rsidRPr="00EF0129" w:rsidRDefault="00E33B67" w:rsidP="00EF0129">
      <w:pPr>
        <w:pStyle w:val="NoSpacing"/>
        <w:jc w:val="both"/>
        <w:rPr>
          <w:rFonts w:ascii="Book Antiqua" w:hAnsi="Book Antiqua"/>
          <w:sz w:val="24"/>
          <w:szCs w:val="24"/>
        </w:rPr>
      </w:pPr>
      <w:r w:rsidRPr="00EF0129">
        <w:rPr>
          <w:rFonts w:ascii="Book Antiqua" w:hAnsi="Book Antiqua"/>
          <w:sz w:val="24"/>
          <w:szCs w:val="24"/>
        </w:rPr>
        <w:t xml:space="preserve">The participants were 26 students from class IV-B at SD Swasta Al-Mukmin, located on Jalan Benteng Hilir No. 1, Bandar Khalipah Village, Percut Sei Tuan District, Deli Serdang Regency, North Sumatra. A guidance and counseling teacher participated in </w:t>
      </w:r>
      <w:r w:rsidRPr="00EF0129">
        <w:rPr>
          <w:rFonts w:ascii="Book Antiqua" w:hAnsi="Book Antiqua"/>
          <w:sz w:val="24"/>
          <w:szCs w:val="24"/>
        </w:rPr>
        <w:lastRenderedPageBreak/>
        <w:t>the initial needs analysis and practicality assessment. The media and material validators assessed the product according to their respective areas of expertise.</w:t>
      </w:r>
    </w:p>
    <w:p w14:paraId="3A2B90BD" w14:textId="77777777" w:rsidR="00EF0129" w:rsidRDefault="00EF0129" w:rsidP="00EF0129">
      <w:pPr>
        <w:pStyle w:val="NoSpacing"/>
        <w:jc w:val="both"/>
        <w:rPr>
          <w:rFonts w:ascii="Book Antiqua" w:hAnsi="Book Antiqua"/>
          <w:sz w:val="24"/>
          <w:szCs w:val="24"/>
        </w:rPr>
      </w:pPr>
    </w:p>
    <w:p w14:paraId="06F9F76A" w14:textId="2F8EFD39" w:rsidR="00E33B67" w:rsidRPr="00EF0129" w:rsidRDefault="00E33B67" w:rsidP="00EF0129">
      <w:pPr>
        <w:pStyle w:val="NoSpacing"/>
        <w:jc w:val="both"/>
        <w:rPr>
          <w:rFonts w:ascii="Book Antiqua" w:hAnsi="Book Antiqua"/>
          <w:sz w:val="24"/>
          <w:szCs w:val="24"/>
        </w:rPr>
      </w:pPr>
      <w:r w:rsidRPr="00EF0129">
        <w:rPr>
          <w:rFonts w:ascii="Book Antiqua" w:hAnsi="Book Antiqua"/>
          <w:sz w:val="24"/>
          <w:szCs w:val="24"/>
        </w:rPr>
        <w:t>Qualitative data were obtained from interviews, observations, and written suggestions from validators and users. Quantitative data were obtained from expert-validation questionnaires, the guidance counselor response questionnaire, and the student response questionnaire. The instruments used a five-point Likert scale. The assessment covered media safety, clarity of instructions, attractiveness, ease of use, relevance to service objectives, and suitability for students</w:t>
      </w:r>
      <w:r w:rsidR="00F33077">
        <w:rPr>
          <w:rFonts w:ascii="Book Antiqua" w:hAnsi="Book Antiqua"/>
          <w:sz w:val="24"/>
          <w:szCs w:val="24"/>
        </w:rPr>
        <w:t xml:space="preserve"> </w:t>
      </w:r>
      <w:r w:rsidR="00F33077">
        <w:rPr>
          <w:rFonts w:ascii="Book Antiqua" w:hAnsi="Book Antiqua"/>
          <w:sz w:val="24"/>
          <w:szCs w:val="24"/>
        </w:rPr>
        <w:fldChar w:fldCharType="begin" w:fldLock="1"/>
      </w:r>
      <w:r w:rsidR="00F33077">
        <w:rPr>
          <w:rFonts w:ascii="Book Antiqua" w:hAnsi="Book Antiqua"/>
          <w:sz w:val="24"/>
          <w:szCs w:val="24"/>
        </w:rPr>
        <w:instrText>ADDIN CSL_CITATION {"citationItems":[{"id":"ITEM-1","itemData":{"DOI":"10.1007/s43621-026-02956-w","ISSN":"26629984","abstract":"This study examines the development and implementation of folklore-based digital learning media designed to enhance senior high school students’ writing skills within Indonesia’s Merdeka Curriculum. The research employed a mixed-methods approach consisting of expert validation, reliability testing, pilot instrument trials with 30 non-sample students, a small-group trial (n = 15), and a main classroom implementation involving 60 students in Indonesian language classes. The validation process confirmed that the developed media met high standards of content accuracy, instructional design, and curriculum alignment, while reliability analysis demonstrated strong internal consistency of the assessment instruments. Empirical findings from classroom trials indicated meaningful improvements in students’ writing performance, providing evidence of the instructional effectiveness of the folklore-based digital media in supporting learning outcomes. Beyond instructional effectiveness, this study contributes to sustainability-oriented education by integrating cultural and environmental dimensions into digital pedagogy. The incorporation of local folklore within technology-supported learning supports cultural sustainability by preserving and transmitting intangible cultural heritage, reinforcing learners’ cultural identity and community awareness. Simultaneously, the use of digital platforms reduces reliance on printed materials, reflecting environmentally responsible learning practices and offering a scalable model for greener educational innovation. Conceptually, the study advances Education for Sustainable Development (ESD) by operationalizing cultural heritage as a pedagogical resource that aligns digital literacy, learner-centered instruction, and sustainability values within formal schooling contexts. Despite these contributions, the study is limited by its focus on a single educational setting and short-term implementation. Future research is therefore encouraged to explore long-term learning effects, cross-regional applicability, and integration with other subject areas. Overall, the findings support the mission of Discover Sustainability by demonstrating how culturally grounded digital learning can simultaneously promote academic achievement and sustainability-oriented educational transformation, in line with SDG 4 (Quality Education) and SDG 11 (Sustainable Cities and Communities).","author":[{"dropping-particle":"","family":"Ansoriyah","given":"Siti","non-dropping-particle":"","parse-names":false,"suffix":""},{"dropping-particle":"","family":"Sarifah","given":"Iva","non-dropping-particle":"","parse-names":false,"suffix":""},{"dropping-particle":"","family":"Oktaviani","given":"Reni","non-dropping-particle":"","parse-names":false,"suffix":""},{"dropping-particle":"","family":"Muawanah","given":"Uyu","non-dropping-particle":"","parse-names":false,"suffix":""}],"container-title":"Discover Sustainability","id":"ITEM-1","issue":"1","issued":{"date-parts":[["2026"]]},"title":"Contextual learning for sustainable education using digital folktale materials","type":"article-journal","volume":"7"},"uris":["http://www.mendeley.com/documents/?uuid=b2c0d53c-d27a-4dfe-adca-a182a6ecffa2"]}],"mendeley":{"formattedCitation":"(Ansoriyah et al., 2026)","plainTextFormattedCitation":"(Ansoriyah et al., 2026)","previouslyFormattedCitation":"(Ansoriyah et al., 2026)"},"properties":{"noteIndex":0},"schema":"https://github.com/citation-style-language/schema/raw/master/csl-citation.json"}</w:instrText>
      </w:r>
      <w:r w:rsidR="00F33077">
        <w:rPr>
          <w:rFonts w:ascii="Book Antiqua" w:hAnsi="Book Antiqua"/>
          <w:sz w:val="24"/>
          <w:szCs w:val="24"/>
        </w:rPr>
        <w:fldChar w:fldCharType="separate"/>
      </w:r>
      <w:r w:rsidR="00F33077" w:rsidRPr="00F33077">
        <w:rPr>
          <w:rFonts w:ascii="Book Antiqua" w:hAnsi="Book Antiqua"/>
          <w:noProof/>
          <w:sz w:val="24"/>
          <w:szCs w:val="24"/>
        </w:rPr>
        <w:t>(Ansoriyah et al., 2026)</w:t>
      </w:r>
      <w:r w:rsidR="00F33077">
        <w:rPr>
          <w:rFonts w:ascii="Book Antiqua" w:hAnsi="Book Antiqua"/>
          <w:sz w:val="24"/>
          <w:szCs w:val="24"/>
        </w:rPr>
        <w:fldChar w:fldCharType="end"/>
      </w:r>
      <w:r w:rsidRPr="00EF0129">
        <w:rPr>
          <w:rFonts w:ascii="Book Antiqua" w:hAnsi="Book Antiqua"/>
          <w:sz w:val="24"/>
          <w:szCs w:val="24"/>
        </w:rPr>
        <w:t>.</w:t>
      </w:r>
      <w:r w:rsidR="00D9697C">
        <w:rPr>
          <w:rFonts w:ascii="Book Antiqua" w:hAnsi="Book Antiqua"/>
          <w:sz w:val="24"/>
          <w:szCs w:val="24"/>
        </w:rPr>
        <w:t xml:space="preserve"> </w:t>
      </w:r>
      <w:r w:rsidRPr="00EF0129">
        <w:rPr>
          <w:rFonts w:ascii="Book Antiqua" w:hAnsi="Book Antiqua"/>
          <w:sz w:val="24"/>
          <w:szCs w:val="24"/>
        </w:rPr>
        <w:t>Validity and practicality percentages were calculated using P = (F/N) × 100%, where P represents the percentage score, F represents the total score obtained, and N represents the maximum possible score</w:t>
      </w:r>
      <w:r w:rsidR="00F33077">
        <w:rPr>
          <w:rFonts w:ascii="Book Antiqua" w:hAnsi="Book Antiqua"/>
          <w:sz w:val="24"/>
          <w:szCs w:val="24"/>
        </w:rPr>
        <w:t xml:space="preserve"> </w:t>
      </w:r>
      <w:r w:rsidR="00F33077">
        <w:rPr>
          <w:rFonts w:ascii="Book Antiqua" w:hAnsi="Book Antiqua"/>
          <w:sz w:val="24"/>
          <w:szCs w:val="24"/>
        </w:rPr>
        <w:fldChar w:fldCharType="begin" w:fldLock="1"/>
      </w:r>
      <w:r w:rsidR="00E968D3">
        <w:rPr>
          <w:rFonts w:ascii="Book Antiqua" w:hAnsi="Book Antiqua"/>
          <w:sz w:val="24"/>
          <w:szCs w:val="24"/>
        </w:rPr>
        <w:instrText>ADDIN CSL_CITATION {"citationItems":[{"id":"ITEM-1","itemData":{"DOI":"10.1016/j.rineng.2024.103381","ISSN":"25901230","abstract":"Introduction: Cardiovascular disease (CVD) is a leading cause of death and disability globally, with ischemia and arrhythmias being critical contributors. Ischemia, due to reduced myocardial blood flow, can lead to sudden cardiac death, while arrhythmias, marked by abnormal heart rhythms, are common in the elderly. Electrocardiography (ECG) is essential for the diagnosis of these conditions. This study aims to develop a clinically interpretable diagnostic framework for ischemia and arrhythmias using key ECG fiducial features. Methods: To develop a robust ECG-based model for predicting cardiovascular diseases, we integrated data from three well-established ECG datasets: MIT-BIH Arrhythmia, European ST-T, and Fantasia. This aggregated dataset was employed to train multiple machine learning (ML) models aimed at automatically classifying heart conditions, including arrhythmia, ischemia, and healthy states. We designed a predictive framework utilizing boosting ML algorithms, enhanced by explainable artificial intelligence (XAI) techniques, to ensure high predictive performance in model interpretation. Results: The histogram gradient boosting classifier demonstrated superior classification performance, achieving an overall accuracy of 90 % in predicting heart disease based on ECG fiducial features. The model achieved area under the curve (AUC) scores of 0.99, 0.99, and 0.89 for the healthy, ischemic, and arrhythmic classes, respectively. XAI methods revealed that ECG fiducial features, such as the P-H, R-H, RR interval, QRS duration, QT interval, and ST segment, were significant diagnostic indicators for heart disease. Conclusions: This study uses machine learning and XAI models to classify arrhythmia and ischemia from ECG data, enhancing interpretability clinical diagnostics for prevention and intervention to reduce disabilities.","author":[{"dropping-particle":"","family":"Sathi","given":"Tanjila Alam","non-dropping-particle":"","parse-names":false,"suffix":""},{"dropping-particle":"","family":"Jany","given":"Rafsan","non-dropping-particle":"","parse-names":false,"suffix":""},{"dropping-particle":"","family":"Ela","given":"Razia Zaman","non-dropping-particle":"","parse-names":false,"suffix":""},{"dropping-particle":"","family":"Azad","given":"A. K.M.","non-dropping-particle":"","parse-names":false,"suffix":""},{"dropping-particle":"","family":"Alyami","given":"Salem Ali","non-dropping-particle":"","parse-names":false,"suffix":""},{"dropping-particle":"","family":"Hossain","given":"Md Azam","non-dropping-particle":"","parse-names":false,"suffix":""},{"dropping-particle":"","family":"Hussain","given":"Iqram","non-dropping-particle":"","parse-names":false,"suffix":""}],"container-title":"Results in Engineering","id":"ITEM-1","issue":"November","issued":{"date-parts":[["2024"]]},"page":"103381","publisher":"Elsevier B.V.","title":"An interpretable electrocardiogram-based model for predicting arrhythmia and ischemia in cardiovascular disease","type":"article-journal","volume":"24"},"uris":["http://www.mendeley.com/documents/?uuid=0d5bea0c-9909-4d01-bcd8-4a5bc2af36b8"]}],"mendeley":{"formattedCitation":"(Sathi et al., 2024)","plainTextFormattedCitation":"(Sathi et al., 2024)","previouslyFormattedCitation":"(Sathi et al., 2024)"},"properties":{"noteIndex":0},"schema":"https://github.com/citation-style-language/schema/raw/master/csl-citation.json"}</w:instrText>
      </w:r>
      <w:r w:rsidR="00F33077">
        <w:rPr>
          <w:rFonts w:ascii="Book Antiqua" w:hAnsi="Book Antiqua"/>
          <w:sz w:val="24"/>
          <w:szCs w:val="24"/>
        </w:rPr>
        <w:fldChar w:fldCharType="separate"/>
      </w:r>
      <w:r w:rsidR="00F33077" w:rsidRPr="00F33077">
        <w:rPr>
          <w:rFonts w:ascii="Book Antiqua" w:hAnsi="Book Antiqua"/>
          <w:noProof/>
          <w:sz w:val="24"/>
          <w:szCs w:val="24"/>
        </w:rPr>
        <w:t>(Sathi et al., 2024)</w:t>
      </w:r>
      <w:r w:rsidR="00F33077">
        <w:rPr>
          <w:rFonts w:ascii="Book Antiqua" w:hAnsi="Book Antiqua"/>
          <w:sz w:val="24"/>
          <w:szCs w:val="24"/>
        </w:rPr>
        <w:fldChar w:fldCharType="end"/>
      </w:r>
      <w:r w:rsidRPr="00EF0129">
        <w:rPr>
          <w:rFonts w:ascii="Book Antiqua" w:hAnsi="Book Antiqua"/>
          <w:sz w:val="24"/>
          <w:szCs w:val="24"/>
        </w:rPr>
        <w:t>. The resulting percentages were interpreted using the criteria presented in Table 1.</w:t>
      </w:r>
    </w:p>
    <w:p w14:paraId="4A2803F6" w14:textId="77777777" w:rsidR="00EF0129" w:rsidRDefault="00EF0129" w:rsidP="00EF0129">
      <w:pPr>
        <w:pStyle w:val="NoSpacing"/>
        <w:jc w:val="both"/>
        <w:rPr>
          <w:rFonts w:ascii="Book Antiqua" w:hAnsi="Book Antiqua"/>
          <w:b/>
          <w:sz w:val="24"/>
          <w:szCs w:val="24"/>
        </w:rPr>
      </w:pPr>
    </w:p>
    <w:p w14:paraId="5EC16F7C" w14:textId="2ADC6F14" w:rsidR="00EF0129" w:rsidRPr="00EF0129" w:rsidRDefault="00E33B67" w:rsidP="00EF0129">
      <w:pPr>
        <w:pStyle w:val="NoSpacing"/>
        <w:jc w:val="center"/>
        <w:rPr>
          <w:rFonts w:ascii="Book Antiqua" w:hAnsi="Book Antiqua"/>
          <w:b/>
          <w:sz w:val="24"/>
          <w:szCs w:val="24"/>
        </w:rPr>
      </w:pPr>
      <w:r w:rsidRPr="00EF0129">
        <w:rPr>
          <w:rFonts w:ascii="Book Antiqua" w:hAnsi="Book Antiqua"/>
          <w:b/>
          <w:sz w:val="24"/>
          <w:szCs w:val="24"/>
        </w:rPr>
        <w:t>Table 1. Criteria for Media Validity and Practicality</w:t>
      </w:r>
    </w:p>
    <w:tbl>
      <w:tblPr>
        <w:tblStyle w:val="PlainTable21"/>
        <w:tblW w:w="0" w:type="auto"/>
        <w:tblInd w:w="1809" w:type="dxa"/>
        <w:tblLook w:val="0720" w:firstRow="1" w:lastRow="0" w:firstColumn="0" w:lastColumn="1" w:noHBand="1" w:noVBand="1"/>
      </w:tblPr>
      <w:tblGrid>
        <w:gridCol w:w="1384"/>
        <w:gridCol w:w="2061"/>
        <w:gridCol w:w="2225"/>
      </w:tblGrid>
      <w:tr w:rsidR="00E33B67" w:rsidRPr="00EF0129" w14:paraId="3AA865D0" w14:textId="77777777" w:rsidTr="00D9697C">
        <w:trPr>
          <w:cnfStyle w:val="100000000000" w:firstRow="1" w:lastRow="0" w:firstColumn="0" w:lastColumn="0" w:oddVBand="0" w:evenVBand="0" w:oddHBand="0" w:evenHBand="0" w:firstRowFirstColumn="0" w:firstRowLastColumn="0" w:lastRowFirstColumn="0" w:lastRowLastColumn="0"/>
        </w:trPr>
        <w:tc>
          <w:tcPr>
            <w:tcW w:w="1384" w:type="dxa"/>
          </w:tcPr>
          <w:p w14:paraId="027B97C6" w14:textId="77777777" w:rsidR="00E33B67" w:rsidRPr="00EF0129" w:rsidRDefault="00E33B67" w:rsidP="00EF0129">
            <w:pPr>
              <w:pStyle w:val="NoSpacing"/>
              <w:jc w:val="both"/>
              <w:rPr>
                <w:rFonts w:ascii="Book Antiqua" w:hAnsi="Book Antiqua"/>
                <w:sz w:val="20"/>
                <w:szCs w:val="20"/>
              </w:rPr>
            </w:pPr>
            <w:r w:rsidRPr="00EF0129">
              <w:rPr>
                <w:rFonts w:ascii="Book Antiqua" w:hAnsi="Book Antiqua"/>
                <w:sz w:val="20"/>
                <w:szCs w:val="20"/>
              </w:rPr>
              <w:t>Percentage</w:t>
            </w:r>
          </w:p>
        </w:tc>
        <w:tc>
          <w:tcPr>
            <w:tcW w:w="2061" w:type="dxa"/>
          </w:tcPr>
          <w:p w14:paraId="5A7A335C" w14:textId="77777777" w:rsidR="00E33B67" w:rsidRPr="00EF0129" w:rsidRDefault="00E33B67" w:rsidP="00EF0129">
            <w:pPr>
              <w:pStyle w:val="NoSpacing"/>
              <w:jc w:val="both"/>
              <w:rPr>
                <w:rFonts w:ascii="Book Antiqua" w:hAnsi="Book Antiqua"/>
                <w:sz w:val="20"/>
                <w:szCs w:val="20"/>
              </w:rPr>
            </w:pPr>
            <w:r w:rsidRPr="00EF0129">
              <w:rPr>
                <w:rFonts w:ascii="Book Antiqua" w:hAnsi="Book Antiqua"/>
                <w:sz w:val="20"/>
                <w:szCs w:val="20"/>
              </w:rPr>
              <w:t>Validity Criterion</w:t>
            </w:r>
          </w:p>
        </w:tc>
        <w:tc>
          <w:tcPr>
            <w:cnfStyle w:val="000100000000" w:firstRow="0" w:lastRow="0" w:firstColumn="0" w:lastColumn="1" w:oddVBand="0" w:evenVBand="0" w:oddHBand="0" w:evenHBand="0" w:firstRowFirstColumn="0" w:firstRowLastColumn="0" w:lastRowFirstColumn="0" w:lastRowLastColumn="0"/>
            <w:tcW w:w="2225" w:type="dxa"/>
          </w:tcPr>
          <w:p w14:paraId="1D11459D" w14:textId="77777777" w:rsidR="00E33B67" w:rsidRPr="00EF0129" w:rsidRDefault="00E33B67" w:rsidP="00EF0129">
            <w:pPr>
              <w:pStyle w:val="NoSpacing"/>
              <w:jc w:val="both"/>
              <w:rPr>
                <w:rFonts w:ascii="Book Antiqua" w:hAnsi="Book Antiqua"/>
                <w:sz w:val="20"/>
                <w:szCs w:val="20"/>
              </w:rPr>
            </w:pPr>
            <w:r w:rsidRPr="00EF0129">
              <w:rPr>
                <w:rFonts w:ascii="Book Antiqua" w:hAnsi="Book Antiqua"/>
                <w:sz w:val="20"/>
                <w:szCs w:val="20"/>
              </w:rPr>
              <w:t>Practicality Criterion</w:t>
            </w:r>
          </w:p>
        </w:tc>
      </w:tr>
      <w:tr w:rsidR="00E33B67" w:rsidRPr="00EF0129" w14:paraId="4A82F42A" w14:textId="77777777" w:rsidTr="00D9697C">
        <w:tc>
          <w:tcPr>
            <w:tcW w:w="1384" w:type="dxa"/>
          </w:tcPr>
          <w:p w14:paraId="6956A4DE" w14:textId="77777777" w:rsidR="00E33B67" w:rsidRPr="00EF0129" w:rsidRDefault="00E33B67" w:rsidP="00EF0129">
            <w:pPr>
              <w:pStyle w:val="NoSpacing"/>
              <w:jc w:val="both"/>
              <w:rPr>
                <w:rFonts w:ascii="Book Antiqua" w:hAnsi="Book Antiqua"/>
                <w:sz w:val="20"/>
                <w:szCs w:val="20"/>
              </w:rPr>
            </w:pPr>
            <w:r w:rsidRPr="00EF0129">
              <w:rPr>
                <w:rFonts w:ascii="Book Antiqua" w:hAnsi="Book Antiqua"/>
                <w:sz w:val="20"/>
                <w:szCs w:val="20"/>
              </w:rPr>
              <w:t>81–100%</w:t>
            </w:r>
          </w:p>
        </w:tc>
        <w:tc>
          <w:tcPr>
            <w:tcW w:w="2061" w:type="dxa"/>
          </w:tcPr>
          <w:p w14:paraId="3BFFBD5A" w14:textId="77777777" w:rsidR="00E33B67" w:rsidRPr="00EF0129" w:rsidRDefault="00E33B67" w:rsidP="00EF0129">
            <w:pPr>
              <w:pStyle w:val="NoSpacing"/>
              <w:jc w:val="both"/>
              <w:rPr>
                <w:rFonts w:ascii="Book Antiqua" w:hAnsi="Book Antiqua"/>
                <w:sz w:val="20"/>
                <w:szCs w:val="20"/>
              </w:rPr>
            </w:pPr>
            <w:r w:rsidRPr="00EF0129">
              <w:rPr>
                <w:rFonts w:ascii="Book Antiqua" w:hAnsi="Book Antiqua"/>
                <w:sz w:val="20"/>
                <w:szCs w:val="20"/>
              </w:rPr>
              <w:t>Highly valid</w:t>
            </w:r>
          </w:p>
        </w:tc>
        <w:tc>
          <w:tcPr>
            <w:cnfStyle w:val="000100000000" w:firstRow="0" w:lastRow="0" w:firstColumn="0" w:lastColumn="1" w:oddVBand="0" w:evenVBand="0" w:oddHBand="0" w:evenHBand="0" w:firstRowFirstColumn="0" w:firstRowLastColumn="0" w:lastRowFirstColumn="0" w:lastRowLastColumn="0"/>
            <w:tcW w:w="2225" w:type="dxa"/>
          </w:tcPr>
          <w:p w14:paraId="5D100454" w14:textId="77777777" w:rsidR="00E33B67" w:rsidRPr="00EF0129" w:rsidRDefault="00E33B67" w:rsidP="00EF0129">
            <w:pPr>
              <w:pStyle w:val="NoSpacing"/>
              <w:jc w:val="both"/>
              <w:rPr>
                <w:rFonts w:ascii="Book Antiqua" w:hAnsi="Book Antiqua"/>
                <w:b w:val="0"/>
                <w:bCs w:val="0"/>
                <w:sz w:val="20"/>
                <w:szCs w:val="20"/>
              </w:rPr>
            </w:pPr>
            <w:r w:rsidRPr="00EF0129">
              <w:rPr>
                <w:rFonts w:ascii="Book Antiqua" w:hAnsi="Book Antiqua"/>
                <w:b w:val="0"/>
                <w:bCs w:val="0"/>
                <w:sz w:val="20"/>
                <w:szCs w:val="20"/>
              </w:rPr>
              <w:t>Highly practical</w:t>
            </w:r>
          </w:p>
        </w:tc>
      </w:tr>
      <w:tr w:rsidR="00E33B67" w:rsidRPr="00EF0129" w14:paraId="5682DCD9" w14:textId="77777777" w:rsidTr="00D9697C">
        <w:tc>
          <w:tcPr>
            <w:tcW w:w="1384" w:type="dxa"/>
          </w:tcPr>
          <w:p w14:paraId="1CDDCD72" w14:textId="77777777" w:rsidR="00E33B67" w:rsidRPr="00EF0129" w:rsidRDefault="00E33B67" w:rsidP="00EF0129">
            <w:pPr>
              <w:pStyle w:val="NoSpacing"/>
              <w:jc w:val="both"/>
              <w:rPr>
                <w:rFonts w:ascii="Book Antiqua" w:hAnsi="Book Antiqua"/>
                <w:sz w:val="20"/>
                <w:szCs w:val="20"/>
              </w:rPr>
            </w:pPr>
            <w:r w:rsidRPr="00EF0129">
              <w:rPr>
                <w:rFonts w:ascii="Book Antiqua" w:hAnsi="Book Antiqua"/>
                <w:sz w:val="20"/>
                <w:szCs w:val="20"/>
              </w:rPr>
              <w:t>61–80%</w:t>
            </w:r>
          </w:p>
        </w:tc>
        <w:tc>
          <w:tcPr>
            <w:tcW w:w="2061" w:type="dxa"/>
          </w:tcPr>
          <w:p w14:paraId="041F4E42" w14:textId="77777777" w:rsidR="00E33B67" w:rsidRPr="00EF0129" w:rsidRDefault="00E33B67" w:rsidP="00EF0129">
            <w:pPr>
              <w:pStyle w:val="NoSpacing"/>
              <w:jc w:val="both"/>
              <w:rPr>
                <w:rFonts w:ascii="Book Antiqua" w:hAnsi="Book Antiqua"/>
                <w:sz w:val="20"/>
                <w:szCs w:val="20"/>
              </w:rPr>
            </w:pPr>
            <w:r w:rsidRPr="00EF0129">
              <w:rPr>
                <w:rFonts w:ascii="Book Antiqua" w:hAnsi="Book Antiqua"/>
                <w:sz w:val="20"/>
                <w:szCs w:val="20"/>
              </w:rPr>
              <w:t>Valid</w:t>
            </w:r>
          </w:p>
        </w:tc>
        <w:tc>
          <w:tcPr>
            <w:cnfStyle w:val="000100000000" w:firstRow="0" w:lastRow="0" w:firstColumn="0" w:lastColumn="1" w:oddVBand="0" w:evenVBand="0" w:oddHBand="0" w:evenHBand="0" w:firstRowFirstColumn="0" w:firstRowLastColumn="0" w:lastRowFirstColumn="0" w:lastRowLastColumn="0"/>
            <w:tcW w:w="2225" w:type="dxa"/>
          </w:tcPr>
          <w:p w14:paraId="4009E429" w14:textId="77777777" w:rsidR="00E33B67" w:rsidRPr="00EF0129" w:rsidRDefault="00E33B67" w:rsidP="00EF0129">
            <w:pPr>
              <w:pStyle w:val="NoSpacing"/>
              <w:jc w:val="both"/>
              <w:rPr>
                <w:rFonts w:ascii="Book Antiqua" w:hAnsi="Book Antiqua"/>
                <w:b w:val="0"/>
                <w:bCs w:val="0"/>
                <w:sz w:val="20"/>
                <w:szCs w:val="20"/>
              </w:rPr>
            </w:pPr>
            <w:r w:rsidRPr="00EF0129">
              <w:rPr>
                <w:rFonts w:ascii="Book Antiqua" w:hAnsi="Book Antiqua"/>
                <w:b w:val="0"/>
                <w:bCs w:val="0"/>
                <w:sz w:val="20"/>
                <w:szCs w:val="20"/>
              </w:rPr>
              <w:t>Practical</w:t>
            </w:r>
          </w:p>
        </w:tc>
      </w:tr>
      <w:tr w:rsidR="00E33B67" w:rsidRPr="00EF0129" w14:paraId="383D90FF" w14:textId="77777777" w:rsidTr="00D9697C">
        <w:tc>
          <w:tcPr>
            <w:tcW w:w="1384" w:type="dxa"/>
          </w:tcPr>
          <w:p w14:paraId="755F5682" w14:textId="77777777" w:rsidR="00E33B67" w:rsidRPr="00EF0129" w:rsidRDefault="00E33B67" w:rsidP="00EF0129">
            <w:pPr>
              <w:pStyle w:val="NoSpacing"/>
              <w:jc w:val="both"/>
              <w:rPr>
                <w:rFonts w:ascii="Book Antiqua" w:hAnsi="Book Antiqua"/>
                <w:sz w:val="20"/>
                <w:szCs w:val="20"/>
              </w:rPr>
            </w:pPr>
            <w:r w:rsidRPr="00EF0129">
              <w:rPr>
                <w:rFonts w:ascii="Book Antiqua" w:hAnsi="Book Antiqua"/>
                <w:sz w:val="20"/>
                <w:szCs w:val="20"/>
              </w:rPr>
              <w:t>41–60%</w:t>
            </w:r>
          </w:p>
        </w:tc>
        <w:tc>
          <w:tcPr>
            <w:tcW w:w="2061" w:type="dxa"/>
          </w:tcPr>
          <w:p w14:paraId="6586A5B9" w14:textId="77777777" w:rsidR="00E33B67" w:rsidRPr="00EF0129" w:rsidRDefault="00E33B67" w:rsidP="00EF0129">
            <w:pPr>
              <w:pStyle w:val="NoSpacing"/>
              <w:jc w:val="both"/>
              <w:rPr>
                <w:rFonts w:ascii="Book Antiqua" w:hAnsi="Book Antiqua"/>
                <w:sz w:val="20"/>
                <w:szCs w:val="20"/>
              </w:rPr>
            </w:pPr>
            <w:r w:rsidRPr="00EF0129">
              <w:rPr>
                <w:rFonts w:ascii="Book Antiqua" w:hAnsi="Book Antiqua"/>
                <w:sz w:val="20"/>
                <w:szCs w:val="20"/>
              </w:rPr>
              <w:t>Less valid</w:t>
            </w:r>
          </w:p>
        </w:tc>
        <w:tc>
          <w:tcPr>
            <w:cnfStyle w:val="000100000000" w:firstRow="0" w:lastRow="0" w:firstColumn="0" w:lastColumn="1" w:oddVBand="0" w:evenVBand="0" w:oddHBand="0" w:evenHBand="0" w:firstRowFirstColumn="0" w:firstRowLastColumn="0" w:lastRowFirstColumn="0" w:lastRowLastColumn="0"/>
            <w:tcW w:w="2225" w:type="dxa"/>
          </w:tcPr>
          <w:p w14:paraId="799084A4" w14:textId="77777777" w:rsidR="00E33B67" w:rsidRPr="00EF0129" w:rsidRDefault="00E33B67" w:rsidP="00EF0129">
            <w:pPr>
              <w:pStyle w:val="NoSpacing"/>
              <w:jc w:val="both"/>
              <w:rPr>
                <w:rFonts w:ascii="Book Antiqua" w:hAnsi="Book Antiqua"/>
                <w:b w:val="0"/>
                <w:bCs w:val="0"/>
                <w:sz w:val="20"/>
                <w:szCs w:val="20"/>
              </w:rPr>
            </w:pPr>
            <w:r w:rsidRPr="00EF0129">
              <w:rPr>
                <w:rFonts w:ascii="Book Antiqua" w:hAnsi="Book Antiqua"/>
                <w:b w:val="0"/>
                <w:bCs w:val="0"/>
                <w:sz w:val="20"/>
                <w:szCs w:val="20"/>
              </w:rPr>
              <w:t>Less practical</w:t>
            </w:r>
          </w:p>
        </w:tc>
      </w:tr>
      <w:tr w:rsidR="00E33B67" w:rsidRPr="00EF0129" w14:paraId="1F11BBC6" w14:textId="77777777" w:rsidTr="00D9697C">
        <w:tc>
          <w:tcPr>
            <w:tcW w:w="1384" w:type="dxa"/>
          </w:tcPr>
          <w:p w14:paraId="2CF06593" w14:textId="77777777" w:rsidR="00E33B67" w:rsidRPr="00EF0129" w:rsidRDefault="00E33B67" w:rsidP="00EF0129">
            <w:pPr>
              <w:pStyle w:val="NoSpacing"/>
              <w:jc w:val="both"/>
              <w:rPr>
                <w:rFonts w:ascii="Book Antiqua" w:hAnsi="Book Antiqua"/>
                <w:sz w:val="20"/>
                <w:szCs w:val="20"/>
              </w:rPr>
            </w:pPr>
            <w:r w:rsidRPr="00EF0129">
              <w:rPr>
                <w:rFonts w:ascii="Book Antiqua" w:hAnsi="Book Antiqua"/>
                <w:sz w:val="20"/>
                <w:szCs w:val="20"/>
              </w:rPr>
              <w:t>21–40%</w:t>
            </w:r>
          </w:p>
        </w:tc>
        <w:tc>
          <w:tcPr>
            <w:tcW w:w="2061" w:type="dxa"/>
          </w:tcPr>
          <w:p w14:paraId="1D757133" w14:textId="77777777" w:rsidR="00E33B67" w:rsidRPr="00EF0129" w:rsidRDefault="00E33B67" w:rsidP="00EF0129">
            <w:pPr>
              <w:pStyle w:val="NoSpacing"/>
              <w:jc w:val="both"/>
              <w:rPr>
                <w:rFonts w:ascii="Book Antiqua" w:hAnsi="Book Antiqua"/>
                <w:sz w:val="20"/>
                <w:szCs w:val="20"/>
              </w:rPr>
            </w:pPr>
            <w:r w:rsidRPr="00EF0129">
              <w:rPr>
                <w:rFonts w:ascii="Book Antiqua" w:hAnsi="Book Antiqua"/>
                <w:sz w:val="20"/>
                <w:szCs w:val="20"/>
              </w:rPr>
              <w:t>Invalid</w:t>
            </w:r>
          </w:p>
        </w:tc>
        <w:tc>
          <w:tcPr>
            <w:cnfStyle w:val="000100000000" w:firstRow="0" w:lastRow="0" w:firstColumn="0" w:lastColumn="1" w:oddVBand="0" w:evenVBand="0" w:oddHBand="0" w:evenHBand="0" w:firstRowFirstColumn="0" w:firstRowLastColumn="0" w:lastRowFirstColumn="0" w:lastRowLastColumn="0"/>
            <w:tcW w:w="2225" w:type="dxa"/>
          </w:tcPr>
          <w:p w14:paraId="3D847F3A" w14:textId="77777777" w:rsidR="00E33B67" w:rsidRPr="00EF0129" w:rsidRDefault="00E33B67" w:rsidP="00EF0129">
            <w:pPr>
              <w:pStyle w:val="NoSpacing"/>
              <w:jc w:val="both"/>
              <w:rPr>
                <w:rFonts w:ascii="Book Antiqua" w:hAnsi="Book Antiqua"/>
                <w:b w:val="0"/>
                <w:bCs w:val="0"/>
                <w:sz w:val="20"/>
                <w:szCs w:val="20"/>
              </w:rPr>
            </w:pPr>
            <w:r w:rsidRPr="00EF0129">
              <w:rPr>
                <w:rFonts w:ascii="Book Antiqua" w:hAnsi="Book Antiqua"/>
                <w:b w:val="0"/>
                <w:bCs w:val="0"/>
                <w:sz w:val="20"/>
                <w:szCs w:val="20"/>
              </w:rPr>
              <w:t>Impractical</w:t>
            </w:r>
          </w:p>
        </w:tc>
      </w:tr>
      <w:tr w:rsidR="00E33B67" w:rsidRPr="00EF0129" w14:paraId="6E97AC2F" w14:textId="77777777" w:rsidTr="00D9697C">
        <w:tc>
          <w:tcPr>
            <w:tcW w:w="1384" w:type="dxa"/>
          </w:tcPr>
          <w:p w14:paraId="065D5D65" w14:textId="77777777" w:rsidR="00E33B67" w:rsidRPr="00EF0129" w:rsidRDefault="00E33B67" w:rsidP="00EF0129">
            <w:pPr>
              <w:pStyle w:val="NoSpacing"/>
              <w:jc w:val="both"/>
              <w:rPr>
                <w:rFonts w:ascii="Book Antiqua" w:hAnsi="Book Antiqua"/>
                <w:sz w:val="20"/>
                <w:szCs w:val="20"/>
              </w:rPr>
            </w:pPr>
            <w:r w:rsidRPr="00EF0129">
              <w:rPr>
                <w:rFonts w:ascii="Book Antiqua" w:hAnsi="Book Antiqua"/>
                <w:sz w:val="20"/>
                <w:szCs w:val="20"/>
              </w:rPr>
              <w:t>0–20%</w:t>
            </w:r>
          </w:p>
        </w:tc>
        <w:tc>
          <w:tcPr>
            <w:tcW w:w="2061" w:type="dxa"/>
          </w:tcPr>
          <w:p w14:paraId="46D4A396" w14:textId="77777777" w:rsidR="00E33B67" w:rsidRPr="00EF0129" w:rsidRDefault="00E33B67" w:rsidP="00EF0129">
            <w:pPr>
              <w:pStyle w:val="NoSpacing"/>
              <w:jc w:val="both"/>
              <w:rPr>
                <w:rFonts w:ascii="Book Antiqua" w:hAnsi="Book Antiqua"/>
                <w:sz w:val="20"/>
                <w:szCs w:val="20"/>
              </w:rPr>
            </w:pPr>
            <w:r w:rsidRPr="00EF0129">
              <w:rPr>
                <w:rFonts w:ascii="Book Antiqua" w:hAnsi="Book Antiqua"/>
                <w:sz w:val="20"/>
                <w:szCs w:val="20"/>
              </w:rPr>
              <w:t>Highly invalid</w:t>
            </w:r>
          </w:p>
        </w:tc>
        <w:tc>
          <w:tcPr>
            <w:cnfStyle w:val="000100000000" w:firstRow="0" w:lastRow="0" w:firstColumn="0" w:lastColumn="1" w:oddVBand="0" w:evenVBand="0" w:oddHBand="0" w:evenHBand="0" w:firstRowFirstColumn="0" w:firstRowLastColumn="0" w:lastRowFirstColumn="0" w:lastRowLastColumn="0"/>
            <w:tcW w:w="2225" w:type="dxa"/>
          </w:tcPr>
          <w:p w14:paraId="66949EA9" w14:textId="77777777" w:rsidR="00E33B67" w:rsidRPr="00EF0129" w:rsidRDefault="00E33B67" w:rsidP="00EF0129">
            <w:pPr>
              <w:pStyle w:val="NoSpacing"/>
              <w:jc w:val="both"/>
              <w:rPr>
                <w:rFonts w:ascii="Book Antiqua" w:hAnsi="Book Antiqua"/>
                <w:b w:val="0"/>
                <w:bCs w:val="0"/>
                <w:sz w:val="20"/>
                <w:szCs w:val="20"/>
              </w:rPr>
            </w:pPr>
            <w:r w:rsidRPr="00EF0129">
              <w:rPr>
                <w:rFonts w:ascii="Book Antiqua" w:hAnsi="Book Antiqua"/>
                <w:b w:val="0"/>
                <w:bCs w:val="0"/>
                <w:sz w:val="20"/>
                <w:szCs w:val="20"/>
              </w:rPr>
              <w:t>Highly impractical</w:t>
            </w:r>
          </w:p>
        </w:tc>
      </w:tr>
    </w:tbl>
    <w:p w14:paraId="20E3AE97" w14:textId="77777777" w:rsidR="00A41814" w:rsidRPr="00EF0129" w:rsidRDefault="00A41814" w:rsidP="00EF0129">
      <w:pPr>
        <w:pStyle w:val="NoSpacing"/>
        <w:jc w:val="both"/>
        <w:rPr>
          <w:rFonts w:ascii="Book Antiqua" w:hAnsi="Book Antiqua"/>
          <w:sz w:val="24"/>
          <w:szCs w:val="24"/>
        </w:rPr>
      </w:pPr>
    </w:p>
    <w:p w14:paraId="03E66F3E" w14:textId="77777777" w:rsidR="00EF0129" w:rsidRDefault="009A7091" w:rsidP="00EF0129">
      <w:pPr>
        <w:pStyle w:val="NoSpacing"/>
        <w:numPr>
          <w:ilvl w:val="0"/>
          <w:numId w:val="13"/>
        </w:numPr>
        <w:rPr>
          <w:rFonts w:ascii="Book Antiqua" w:hAnsi="Book Antiqua"/>
          <w:b/>
          <w:bCs/>
          <w:sz w:val="24"/>
          <w:szCs w:val="24"/>
        </w:rPr>
      </w:pPr>
      <w:r w:rsidRPr="00EF0129">
        <w:rPr>
          <w:rFonts w:ascii="Book Antiqua" w:hAnsi="Book Antiqua"/>
          <w:b/>
          <w:bCs/>
          <w:sz w:val="24"/>
          <w:szCs w:val="24"/>
          <w:lang w:val="id-ID"/>
        </w:rPr>
        <w:t>Results</w:t>
      </w:r>
      <w:r w:rsidRPr="00EF0129">
        <w:rPr>
          <w:rFonts w:ascii="Book Antiqua" w:hAnsi="Book Antiqua"/>
          <w:b/>
          <w:bCs/>
          <w:sz w:val="24"/>
          <w:szCs w:val="24"/>
        </w:rPr>
        <w:t xml:space="preserve"> and Discussion</w:t>
      </w:r>
    </w:p>
    <w:p w14:paraId="3422C1C4" w14:textId="77777777" w:rsidR="00EF0129" w:rsidRPr="00EF0129" w:rsidRDefault="00EF0129" w:rsidP="00EF0129">
      <w:pPr>
        <w:pStyle w:val="NoSpacing"/>
        <w:rPr>
          <w:rFonts w:ascii="Book Antiqua" w:hAnsi="Book Antiqua"/>
          <w:b/>
          <w:bCs/>
          <w:sz w:val="24"/>
          <w:szCs w:val="24"/>
        </w:rPr>
      </w:pPr>
    </w:p>
    <w:p w14:paraId="6B9F93FE" w14:textId="62649743" w:rsidR="00E33B67" w:rsidRPr="00EF0129" w:rsidRDefault="00E33B67" w:rsidP="00D9697C">
      <w:pPr>
        <w:pStyle w:val="NoSpacing"/>
        <w:numPr>
          <w:ilvl w:val="0"/>
          <w:numId w:val="15"/>
        </w:numPr>
        <w:ind w:left="284" w:hanging="284"/>
        <w:rPr>
          <w:rFonts w:ascii="Book Antiqua" w:hAnsi="Book Antiqua"/>
          <w:b/>
          <w:bCs/>
          <w:sz w:val="24"/>
          <w:szCs w:val="24"/>
        </w:rPr>
      </w:pPr>
      <w:r w:rsidRPr="00EF0129">
        <w:rPr>
          <w:rFonts w:ascii="Book Antiqua" w:eastAsia="Times New Roman" w:hAnsi="Book Antiqua"/>
          <w:b/>
          <w:sz w:val="24"/>
          <w:szCs w:val="24"/>
        </w:rPr>
        <w:t>Result</w:t>
      </w:r>
    </w:p>
    <w:p w14:paraId="5DCFD040" w14:textId="77777777" w:rsidR="00EF0129" w:rsidRDefault="00EF0129" w:rsidP="00EF0129">
      <w:pPr>
        <w:pStyle w:val="NoSpacing"/>
        <w:jc w:val="both"/>
        <w:rPr>
          <w:rFonts w:ascii="Book Antiqua" w:hAnsi="Book Antiqua"/>
          <w:sz w:val="24"/>
          <w:szCs w:val="24"/>
        </w:rPr>
      </w:pPr>
    </w:p>
    <w:p w14:paraId="63FD7035" w14:textId="236466FD" w:rsidR="00E33B67" w:rsidRPr="00EF0129" w:rsidRDefault="00E33B67" w:rsidP="00EF0129">
      <w:pPr>
        <w:pStyle w:val="NoSpacing"/>
        <w:jc w:val="both"/>
        <w:rPr>
          <w:rFonts w:ascii="Book Antiqua" w:hAnsi="Book Antiqua"/>
          <w:sz w:val="24"/>
          <w:szCs w:val="24"/>
        </w:rPr>
      </w:pPr>
      <w:r w:rsidRPr="00EF0129">
        <w:rPr>
          <w:rFonts w:ascii="Book Antiqua" w:hAnsi="Book Antiqua"/>
          <w:sz w:val="24"/>
          <w:szCs w:val="24"/>
        </w:rPr>
        <w:t>The development results are presented according to the Define, Design, and Develop stages. This section reports the empirical findings without extending them into theoretical interpretation.</w:t>
      </w:r>
    </w:p>
    <w:p w14:paraId="33712E00" w14:textId="77777777" w:rsidR="00D9697C" w:rsidRDefault="00D9697C" w:rsidP="00EF0129">
      <w:pPr>
        <w:pStyle w:val="NoSpacing"/>
        <w:jc w:val="both"/>
        <w:rPr>
          <w:rFonts w:ascii="Book Antiqua" w:hAnsi="Book Antiqua"/>
          <w:b/>
          <w:sz w:val="24"/>
          <w:szCs w:val="24"/>
        </w:rPr>
      </w:pPr>
    </w:p>
    <w:p w14:paraId="0CC6989E" w14:textId="41D56ADB" w:rsidR="00E33B67" w:rsidRDefault="00E33B67" w:rsidP="00EF0129">
      <w:pPr>
        <w:pStyle w:val="NoSpacing"/>
        <w:jc w:val="both"/>
        <w:rPr>
          <w:rFonts w:ascii="Book Antiqua" w:hAnsi="Book Antiqua"/>
          <w:b/>
          <w:sz w:val="24"/>
          <w:szCs w:val="24"/>
        </w:rPr>
      </w:pPr>
      <w:r w:rsidRPr="00EF0129">
        <w:rPr>
          <w:rFonts w:ascii="Book Antiqua" w:hAnsi="Book Antiqua"/>
          <w:b/>
          <w:sz w:val="24"/>
          <w:szCs w:val="24"/>
        </w:rPr>
        <w:t>Define Stage</w:t>
      </w:r>
    </w:p>
    <w:p w14:paraId="6C526AC5" w14:textId="77777777" w:rsidR="00EF0129" w:rsidRPr="00EF0129" w:rsidRDefault="00EF0129" w:rsidP="00EF0129">
      <w:pPr>
        <w:pStyle w:val="NoSpacing"/>
        <w:ind w:left="360"/>
        <w:jc w:val="both"/>
        <w:rPr>
          <w:rFonts w:ascii="Book Antiqua" w:hAnsi="Book Antiqua"/>
          <w:sz w:val="24"/>
          <w:szCs w:val="24"/>
        </w:rPr>
      </w:pPr>
    </w:p>
    <w:p w14:paraId="6DD2E3A3" w14:textId="51E7EA13" w:rsidR="00E33B67" w:rsidRDefault="00E33B67" w:rsidP="00EF0129">
      <w:pPr>
        <w:pStyle w:val="NoSpacing"/>
        <w:jc w:val="both"/>
        <w:rPr>
          <w:rFonts w:ascii="Book Antiqua" w:hAnsi="Book Antiqua"/>
          <w:sz w:val="24"/>
          <w:szCs w:val="24"/>
        </w:rPr>
      </w:pPr>
      <w:r w:rsidRPr="00EF0129">
        <w:rPr>
          <w:rFonts w:ascii="Book Antiqua" w:hAnsi="Book Antiqua"/>
          <w:sz w:val="24"/>
          <w:szCs w:val="24"/>
        </w:rPr>
        <w:t>Interviews and observations conducted at SD Swasta Al-Mukmin indicated that students in class IV-B frequently had difficulty remembering recently presented information, following multistep instructions, maintaining concentration, and recalling previously learned material. The learning process was described as being dominated by lectures and textbooks, which limited active student participation</w:t>
      </w:r>
      <w:r w:rsidR="00E968D3">
        <w:rPr>
          <w:rFonts w:ascii="Book Antiqua" w:hAnsi="Book Antiqua"/>
          <w:sz w:val="24"/>
          <w:szCs w:val="24"/>
        </w:rPr>
        <w:t xml:space="preserve"> </w:t>
      </w:r>
      <w:r w:rsidR="00E968D3">
        <w:rPr>
          <w:rFonts w:ascii="Book Antiqua" w:hAnsi="Book Antiqua"/>
          <w:sz w:val="24"/>
          <w:szCs w:val="24"/>
        </w:rPr>
        <w:fldChar w:fldCharType="begin" w:fldLock="1"/>
      </w:r>
      <w:r w:rsidR="00E968D3">
        <w:rPr>
          <w:rFonts w:ascii="Book Antiqua" w:hAnsi="Book Antiqua"/>
          <w:sz w:val="24"/>
          <w:szCs w:val="24"/>
        </w:rPr>
        <w:instrText>ADDIN CSL_CITATION {"citationItems":[{"id":"ITEM-1","itemData":{"DOI":"10.1080/0142159X.2020.1805100","ISSN":"1466187X","PMID":"32795244","abstract":"Purpose: The aim of this review is to explore the effects of the seminar teaching method versus lecture-based learning (LBL) in the education of medical students by meta-analysis. Method: Data and information available on PubMed, Cochrane Library, EMBASE, MEDLINE, China National Knowledge Infrastructure, WanFang Data, China Science Periodical Database, and Chinese BioMedical were searched and examined from the inception up to January 2020. Randomized controlled trials (RCTs) that investigated the effects of the seminar teaching method versus LBL in medical education were included. Results: A total of 16 RCTs were included, with a total sample size of 1122 medical students. The seminar teaching method significantly improved knowledge scores (SMD = 1.38, 95%CI 0.92–1.84; p &lt; 0.001) and skill scores (SMD = 1.46, 95%CI 1.00–1.91; p &lt; 0.001) and the seminar teaching method significantly improved teaching effects, including active learning ability, learning interest, scientific innovation, and independent thinking ability, expression and communication ability, clinical thinking ability, teamwork, teacher-student interaction, and classroom atmosphere. Conclusions: This meta-analysis showed that the seminar teaching method is an effective method for improving knowledge scores, skill scores, active learning ability, student collaboration, classroom atmosphere, and interaction between teachers and students.","author":[{"dropping-particle":"","family":"Zeng","given":"Huo Lin","non-dropping-particle":"","parse-names":false,"suffix":""},{"dropping-particle":"","family":"Chen","given":"Dong Xu","non-dropping-particle":"","parse-names":false,"suffix":""},{"dropping-particle":"","family":"Li","given":"Qian","non-dropping-particle":"","parse-names":false,"suffix":""},{"dropping-particle":"","family":"Wang","given":"Xing Yue","non-dropping-particle":"","parse-names":false,"suffix":""}],"container-title":"Medical Teacher","id":"ITEM-1","issue":"12","issued":{"date-parts":[["2020"]]},"page":"1343-1349","title":"Effects of seminar teaching method versus lecture-based learning in medical education: A meta-analysis of randomized controlled trials","type":"article-journal","volume":"42"},"uris":["http://www.mendeley.com/documents/?uuid=66a0db56-26b2-4091-bb54-69c6ca82db62"]}],"mendeley":{"formattedCitation":"(Zeng et al., 2020)","plainTextFormattedCitation":"(Zeng et al., 2020)","previouslyFormattedCitation":"(Zeng et al., 2020)"},"properties":{"noteIndex":0},"schema":"https://github.com/citation-style-language/schema/raw/master/csl-citation.json"}</w:instrText>
      </w:r>
      <w:r w:rsidR="00E968D3">
        <w:rPr>
          <w:rFonts w:ascii="Book Antiqua" w:hAnsi="Book Antiqua"/>
          <w:sz w:val="24"/>
          <w:szCs w:val="24"/>
        </w:rPr>
        <w:fldChar w:fldCharType="separate"/>
      </w:r>
      <w:r w:rsidR="00E968D3" w:rsidRPr="00E968D3">
        <w:rPr>
          <w:rFonts w:ascii="Book Antiqua" w:hAnsi="Book Antiqua"/>
          <w:noProof/>
          <w:sz w:val="24"/>
          <w:szCs w:val="24"/>
        </w:rPr>
        <w:t>(Zeng et al., 2020)</w:t>
      </w:r>
      <w:r w:rsidR="00E968D3">
        <w:rPr>
          <w:rFonts w:ascii="Book Antiqua" w:hAnsi="Book Antiqua"/>
          <w:sz w:val="24"/>
          <w:szCs w:val="24"/>
        </w:rPr>
        <w:fldChar w:fldCharType="end"/>
      </w:r>
      <w:r w:rsidRPr="00EF0129">
        <w:rPr>
          <w:rFonts w:ascii="Book Antiqua" w:hAnsi="Book Antiqua"/>
          <w:sz w:val="24"/>
          <w:szCs w:val="24"/>
        </w:rPr>
        <w:t>. These findings established the need for an interactive activity that could combine attention, movement, repetition, and information retrieval.</w:t>
      </w:r>
      <w:r w:rsidR="00D9697C">
        <w:rPr>
          <w:rFonts w:ascii="Book Antiqua" w:hAnsi="Book Antiqua"/>
          <w:sz w:val="24"/>
          <w:szCs w:val="24"/>
        </w:rPr>
        <w:t xml:space="preserve"> </w:t>
      </w:r>
      <w:r w:rsidRPr="00EF0129">
        <w:rPr>
          <w:rFonts w:ascii="Book Antiqua" w:hAnsi="Book Antiqua"/>
          <w:sz w:val="24"/>
          <w:szCs w:val="24"/>
        </w:rPr>
        <w:t>A needs questionnaire was administered to all 26 students. In the original questionnaire summary, the category values were recorded as response scores rather than as a mutually exclusive percentage distribution. For accuracy, Table 2 therefore presents the values as reported response scores.</w:t>
      </w:r>
    </w:p>
    <w:p w14:paraId="490BAC46" w14:textId="5FDCDD4F" w:rsidR="00D9697C" w:rsidRDefault="00D9697C" w:rsidP="00EF0129">
      <w:pPr>
        <w:pStyle w:val="NoSpacing"/>
        <w:jc w:val="both"/>
        <w:rPr>
          <w:rFonts w:ascii="Book Antiqua" w:hAnsi="Book Antiqua"/>
          <w:sz w:val="24"/>
          <w:szCs w:val="24"/>
        </w:rPr>
      </w:pPr>
    </w:p>
    <w:p w14:paraId="3722FE69" w14:textId="77777777" w:rsidR="00D9697C" w:rsidRPr="00EF0129" w:rsidRDefault="00D9697C" w:rsidP="00EF0129">
      <w:pPr>
        <w:pStyle w:val="NoSpacing"/>
        <w:jc w:val="both"/>
        <w:rPr>
          <w:rFonts w:ascii="Book Antiqua" w:hAnsi="Book Antiqua"/>
          <w:sz w:val="24"/>
          <w:szCs w:val="24"/>
        </w:rPr>
      </w:pPr>
    </w:p>
    <w:p w14:paraId="0B389A18" w14:textId="7250CEAC" w:rsidR="00EF0129" w:rsidRPr="00EF0129" w:rsidRDefault="00E33B67" w:rsidP="00EF0129">
      <w:pPr>
        <w:pStyle w:val="NoSpacing"/>
        <w:jc w:val="center"/>
        <w:rPr>
          <w:rFonts w:ascii="Book Antiqua" w:hAnsi="Book Antiqua"/>
          <w:b/>
          <w:sz w:val="24"/>
          <w:szCs w:val="24"/>
        </w:rPr>
      </w:pPr>
      <w:r w:rsidRPr="00EF0129">
        <w:rPr>
          <w:rFonts w:ascii="Book Antiqua" w:hAnsi="Book Antiqua"/>
          <w:b/>
          <w:sz w:val="24"/>
          <w:szCs w:val="24"/>
        </w:rPr>
        <w:lastRenderedPageBreak/>
        <w:t>Table 2. Student Needs Analysis</w:t>
      </w:r>
    </w:p>
    <w:tbl>
      <w:tblPr>
        <w:tblStyle w:val="PlainTable21"/>
        <w:tblW w:w="9070" w:type="dxa"/>
        <w:tblInd w:w="108" w:type="dxa"/>
        <w:tblBorders>
          <w:top w:val="single" w:sz="4" w:space="0" w:color="auto"/>
          <w:bottom w:val="single" w:sz="4" w:space="0" w:color="auto"/>
        </w:tblBorders>
        <w:tblLook w:val="0720" w:firstRow="1" w:lastRow="0" w:firstColumn="0" w:lastColumn="1" w:noHBand="1" w:noVBand="1"/>
      </w:tblPr>
      <w:tblGrid>
        <w:gridCol w:w="675"/>
        <w:gridCol w:w="1504"/>
        <w:gridCol w:w="2040"/>
        <w:gridCol w:w="2268"/>
        <w:gridCol w:w="1504"/>
        <w:gridCol w:w="1079"/>
      </w:tblGrid>
      <w:tr w:rsidR="00E33B67" w:rsidRPr="00EF0129" w14:paraId="0A540C6A" w14:textId="77777777" w:rsidTr="00D9697C">
        <w:trPr>
          <w:cnfStyle w:val="100000000000" w:firstRow="1" w:lastRow="0" w:firstColumn="0" w:lastColumn="0" w:oddVBand="0" w:evenVBand="0" w:oddHBand="0" w:evenHBand="0" w:firstRowFirstColumn="0" w:firstRowLastColumn="0" w:lastRowFirstColumn="0" w:lastRowLastColumn="0"/>
        </w:trPr>
        <w:tc>
          <w:tcPr>
            <w:tcW w:w="675" w:type="dxa"/>
            <w:tcBorders>
              <w:top w:val="single" w:sz="4" w:space="0" w:color="auto"/>
              <w:bottom w:val="single" w:sz="4" w:space="0" w:color="auto"/>
            </w:tcBorders>
          </w:tcPr>
          <w:p w14:paraId="4C70ECD3" w14:textId="45578DF3"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No</w:t>
            </w:r>
          </w:p>
        </w:tc>
        <w:tc>
          <w:tcPr>
            <w:tcW w:w="1504" w:type="dxa"/>
            <w:tcBorders>
              <w:top w:val="single" w:sz="4" w:space="0" w:color="auto"/>
              <w:bottom w:val="single" w:sz="4" w:space="0" w:color="auto"/>
            </w:tcBorders>
          </w:tcPr>
          <w:p w14:paraId="233A431B"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Dimension</w:t>
            </w:r>
          </w:p>
        </w:tc>
        <w:tc>
          <w:tcPr>
            <w:tcW w:w="2040" w:type="dxa"/>
            <w:tcBorders>
              <w:top w:val="single" w:sz="4" w:space="0" w:color="auto"/>
              <w:bottom w:val="single" w:sz="4" w:space="0" w:color="auto"/>
            </w:tcBorders>
          </w:tcPr>
          <w:p w14:paraId="0D2D1E3B"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Aspect</w:t>
            </w:r>
          </w:p>
        </w:tc>
        <w:tc>
          <w:tcPr>
            <w:tcW w:w="2268" w:type="dxa"/>
            <w:tcBorders>
              <w:top w:val="single" w:sz="4" w:space="0" w:color="auto"/>
              <w:bottom w:val="single" w:sz="4" w:space="0" w:color="auto"/>
            </w:tcBorders>
          </w:tcPr>
          <w:p w14:paraId="16ED727C"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Indicator</w:t>
            </w:r>
          </w:p>
        </w:tc>
        <w:tc>
          <w:tcPr>
            <w:tcW w:w="1504" w:type="dxa"/>
            <w:tcBorders>
              <w:top w:val="single" w:sz="4" w:space="0" w:color="auto"/>
              <w:bottom w:val="single" w:sz="4" w:space="0" w:color="auto"/>
            </w:tcBorders>
          </w:tcPr>
          <w:p w14:paraId="2E4DC99A"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Response Option</w:t>
            </w:r>
          </w:p>
        </w:tc>
        <w:tc>
          <w:tcPr>
            <w:cnfStyle w:val="000100000000" w:firstRow="0" w:lastRow="0" w:firstColumn="0" w:lastColumn="1" w:oddVBand="0" w:evenVBand="0" w:oddHBand="0" w:evenHBand="0" w:firstRowFirstColumn="0" w:firstRowLastColumn="0" w:lastRowFirstColumn="0" w:lastRowLastColumn="0"/>
            <w:tcW w:w="1079" w:type="dxa"/>
            <w:tcBorders>
              <w:top w:val="single" w:sz="4" w:space="0" w:color="auto"/>
              <w:bottom w:val="single" w:sz="4" w:space="0" w:color="auto"/>
            </w:tcBorders>
          </w:tcPr>
          <w:p w14:paraId="793BE884"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Reported Score</w:t>
            </w:r>
          </w:p>
        </w:tc>
      </w:tr>
      <w:tr w:rsidR="00E33B67" w:rsidRPr="00EF0129" w14:paraId="71D9B28E" w14:textId="77777777" w:rsidTr="00D9697C">
        <w:tc>
          <w:tcPr>
            <w:tcW w:w="675" w:type="dxa"/>
            <w:tcBorders>
              <w:top w:val="single" w:sz="4" w:space="0" w:color="auto"/>
            </w:tcBorders>
          </w:tcPr>
          <w:p w14:paraId="556CE6BE"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1</w:t>
            </w:r>
          </w:p>
        </w:tc>
        <w:tc>
          <w:tcPr>
            <w:tcW w:w="1504" w:type="dxa"/>
            <w:tcBorders>
              <w:top w:val="single" w:sz="4" w:space="0" w:color="auto"/>
            </w:tcBorders>
          </w:tcPr>
          <w:p w14:paraId="4DDCF59E"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Information reception</w:t>
            </w:r>
          </w:p>
        </w:tc>
        <w:tc>
          <w:tcPr>
            <w:tcW w:w="2040" w:type="dxa"/>
            <w:tcBorders>
              <w:top w:val="single" w:sz="4" w:space="0" w:color="auto"/>
            </w:tcBorders>
          </w:tcPr>
          <w:p w14:paraId="30C78C23"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Attention during learning</w:t>
            </w:r>
          </w:p>
        </w:tc>
        <w:tc>
          <w:tcPr>
            <w:tcW w:w="2268" w:type="dxa"/>
            <w:tcBorders>
              <w:top w:val="single" w:sz="4" w:space="0" w:color="auto"/>
            </w:tcBorders>
          </w:tcPr>
          <w:p w14:paraId="7257D71B" w14:textId="3DD9E33E"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Ability to attend to the teacher</w:t>
            </w:r>
            <w:r w:rsidR="008018ED">
              <w:rPr>
                <w:rFonts w:ascii="Book Antiqua" w:hAnsi="Book Antiqua"/>
                <w:sz w:val="20"/>
                <w:szCs w:val="20"/>
              </w:rPr>
              <w:t>’</w:t>
            </w:r>
            <w:r w:rsidRPr="00EF0129">
              <w:rPr>
                <w:rFonts w:ascii="Book Antiqua" w:hAnsi="Book Antiqua"/>
                <w:sz w:val="20"/>
                <w:szCs w:val="20"/>
              </w:rPr>
              <w:t>s explanation</w:t>
            </w:r>
          </w:p>
        </w:tc>
        <w:tc>
          <w:tcPr>
            <w:tcW w:w="1504" w:type="dxa"/>
            <w:tcBorders>
              <w:top w:val="single" w:sz="4" w:space="0" w:color="auto"/>
            </w:tcBorders>
          </w:tcPr>
          <w:p w14:paraId="2EE41016"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Strongly agree</w:t>
            </w:r>
          </w:p>
        </w:tc>
        <w:tc>
          <w:tcPr>
            <w:cnfStyle w:val="000100000000" w:firstRow="0" w:lastRow="0" w:firstColumn="0" w:lastColumn="1" w:oddVBand="0" w:evenVBand="0" w:oddHBand="0" w:evenHBand="0" w:firstRowFirstColumn="0" w:firstRowLastColumn="0" w:lastRowFirstColumn="0" w:lastRowLastColumn="0"/>
            <w:tcW w:w="1079" w:type="dxa"/>
            <w:tcBorders>
              <w:top w:val="single" w:sz="4" w:space="0" w:color="auto"/>
            </w:tcBorders>
          </w:tcPr>
          <w:p w14:paraId="7E49D768"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10</w:t>
            </w:r>
          </w:p>
        </w:tc>
      </w:tr>
      <w:tr w:rsidR="00E33B67" w:rsidRPr="00EF0129" w14:paraId="2FB188C7" w14:textId="77777777" w:rsidTr="00D9697C">
        <w:tc>
          <w:tcPr>
            <w:tcW w:w="675" w:type="dxa"/>
          </w:tcPr>
          <w:p w14:paraId="47A3E281" w14:textId="77777777" w:rsidR="00E33B67" w:rsidRPr="00EF0129" w:rsidRDefault="00E33B67" w:rsidP="00EF0129">
            <w:pPr>
              <w:pStyle w:val="NoSpacing"/>
              <w:rPr>
                <w:rFonts w:ascii="Book Antiqua" w:hAnsi="Book Antiqua"/>
                <w:sz w:val="20"/>
                <w:szCs w:val="20"/>
              </w:rPr>
            </w:pPr>
          </w:p>
        </w:tc>
        <w:tc>
          <w:tcPr>
            <w:tcW w:w="1504" w:type="dxa"/>
          </w:tcPr>
          <w:p w14:paraId="75353E82" w14:textId="77777777" w:rsidR="00E33B67" w:rsidRPr="00EF0129" w:rsidRDefault="00E33B67" w:rsidP="00EF0129">
            <w:pPr>
              <w:pStyle w:val="NoSpacing"/>
              <w:rPr>
                <w:rFonts w:ascii="Book Antiqua" w:hAnsi="Book Antiqua"/>
                <w:sz w:val="20"/>
                <w:szCs w:val="20"/>
              </w:rPr>
            </w:pPr>
          </w:p>
        </w:tc>
        <w:tc>
          <w:tcPr>
            <w:tcW w:w="2040" w:type="dxa"/>
          </w:tcPr>
          <w:p w14:paraId="16AC04A7" w14:textId="77777777" w:rsidR="00E33B67" w:rsidRPr="00EF0129" w:rsidRDefault="00E33B67" w:rsidP="00EF0129">
            <w:pPr>
              <w:pStyle w:val="NoSpacing"/>
              <w:rPr>
                <w:rFonts w:ascii="Book Antiqua" w:hAnsi="Book Antiqua"/>
                <w:sz w:val="20"/>
                <w:szCs w:val="20"/>
              </w:rPr>
            </w:pPr>
          </w:p>
        </w:tc>
        <w:tc>
          <w:tcPr>
            <w:tcW w:w="2268" w:type="dxa"/>
          </w:tcPr>
          <w:p w14:paraId="603B4538" w14:textId="77777777" w:rsidR="00E33B67" w:rsidRPr="00EF0129" w:rsidRDefault="00E33B67" w:rsidP="00EF0129">
            <w:pPr>
              <w:pStyle w:val="NoSpacing"/>
              <w:rPr>
                <w:rFonts w:ascii="Book Antiqua" w:hAnsi="Book Antiqua"/>
                <w:sz w:val="20"/>
                <w:szCs w:val="20"/>
              </w:rPr>
            </w:pPr>
          </w:p>
        </w:tc>
        <w:tc>
          <w:tcPr>
            <w:tcW w:w="1504" w:type="dxa"/>
          </w:tcPr>
          <w:p w14:paraId="5CDB6B48"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Agree</w:t>
            </w:r>
          </w:p>
        </w:tc>
        <w:tc>
          <w:tcPr>
            <w:cnfStyle w:val="000100000000" w:firstRow="0" w:lastRow="0" w:firstColumn="0" w:lastColumn="1" w:oddVBand="0" w:evenVBand="0" w:oddHBand="0" w:evenHBand="0" w:firstRowFirstColumn="0" w:firstRowLastColumn="0" w:lastRowFirstColumn="0" w:lastRowLastColumn="0"/>
            <w:tcW w:w="1079" w:type="dxa"/>
          </w:tcPr>
          <w:p w14:paraId="68AF7F3F"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20</w:t>
            </w:r>
          </w:p>
        </w:tc>
      </w:tr>
      <w:tr w:rsidR="00E33B67" w:rsidRPr="00EF0129" w14:paraId="04756CE8" w14:textId="77777777" w:rsidTr="00D9697C">
        <w:tc>
          <w:tcPr>
            <w:tcW w:w="675" w:type="dxa"/>
          </w:tcPr>
          <w:p w14:paraId="48D8FB8E" w14:textId="77777777" w:rsidR="00E33B67" w:rsidRPr="00EF0129" w:rsidRDefault="00E33B67" w:rsidP="00EF0129">
            <w:pPr>
              <w:pStyle w:val="NoSpacing"/>
              <w:rPr>
                <w:rFonts w:ascii="Book Antiqua" w:hAnsi="Book Antiqua"/>
                <w:sz w:val="20"/>
                <w:szCs w:val="20"/>
              </w:rPr>
            </w:pPr>
          </w:p>
        </w:tc>
        <w:tc>
          <w:tcPr>
            <w:tcW w:w="1504" w:type="dxa"/>
          </w:tcPr>
          <w:p w14:paraId="47375871" w14:textId="77777777" w:rsidR="00E33B67" w:rsidRPr="00EF0129" w:rsidRDefault="00E33B67" w:rsidP="00EF0129">
            <w:pPr>
              <w:pStyle w:val="NoSpacing"/>
              <w:rPr>
                <w:rFonts w:ascii="Book Antiqua" w:hAnsi="Book Antiqua"/>
                <w:sz w:val="20"/>
                <w:szCs w:val="20"/>
              </w:rPr>
            </w:pPr>
          </w:p>
        </w:tc>
        <w:tc>
          <w:tcPr>
            <w:tcW w:w="2040" w:type="dxa"/>
          </w:tcPr>
          <w:p w14:paraId="3148C96F" w14:textId="77777777" w:rsidR="00E33B67" w:rsidRPr="00EF0129" w:rsidRDefault="00E33B67" w:rsidP="00EF0129">
            <w:pPr>
              <w:pStyle w:val="NoSpacing"/>
              <w:rPr>
                <w:rFonts w:ascii="Book Antiqua" w:hAnsi="Book Antiqua"/>
                <w:sz w:val="20"/>
                <w:szCs w:val="20"/>
              </w:rPr>
            </w:pPr>
          </w:p>
        </w:tc>
        <w:tc>
          <w:tcPr>
            <w:tcW w:w="2268" w:type="dxa"/>
          </w:tcPr>
          <w:p w14:paraId="50646DC2" w14:textId="77777777" w:rsidR="00E33B67" w:rsidRPr="00EF0129" w:rsidRDefault="00E33B67" w:rsidP="00EF0129">
            <w:pPr>
              <w:pStyle w:val="NoSpacing"/>
              <w:rPr>
                <w:rFonts w:ascii="Book Antiqua" w:hAnsi="Book Antiqua"/>
                <w:sz w:val="20"/>
                <w:szCs w:val="20"/>
              </w:rPr>
            </w:pPr>
          </w:p>
        </w:tc>
        <w:tc>
          <w:tcPr>
            <w:tcW w:w="1504" w:type="dxa"/>
          </w:tcPr>
          <w:p w14:paraId="37D37B6D"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Neutral</w:t>
            </w:r>
          </w:p>
        </w:tc>
        <w:tc>
          <w:tcPr>
            <w:cnfStyle w:val="000100000000" w:firstRow="0" w:lastRow="0" w:firstColumn="0" w:lastColumn="1" w:oddVBand="0" w:evenVBand="0" w:oddHBand="0" w:evenHBand="0" w:firstRowFirstColumn="0" w:firstRowLastColumn="0" w:lastRowFirstColumn="0" w:lastRowLastColumn="0"/>
            <w:tcW w:w="1079" w:type="dxa"/>
          </w:tcPr>
          <w:p w14:paraId="4732D72B"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25</w:t>
            </w:r>
          </w:p>
        </w:tc>
      </w:tr>
      <w:tr w:rsidR="00E33B67" w:rsidRPr="00EF0129" w14:paraId="4A741679" w14:textId="77777777" w:rsidTr="00D9697C">
        <w:tc>
          <w:tcPr>
            <w:tcW w:w="675" w:type="dxa"/>
          </w:tcPr>
          <w:p w14:paraId="27DFC36B" w14:textId="77777777" w:rsidR="00E33B67" w:rsidRPr="00EF0129" w:rsidRDefault="00E33B67" w:rsidP="00EF0129">
            <w:pPr>
              <w:pStyle w:val="NoSpacing"/>
              <w:rPr>
                <w:rFonts w:ascii="Book Antiqua" w:hAnsi="Book Antiqua"/>
                <w:sz w:val="20"/>
                <w:szCs w:val="20"/>
              </w:rPr>
            </w:pPr>
          </w:p>
        </w:tc>
        <w:tc>
          <w:tcPr>
            <w:tcW w:w="1504" w:type="dxa"/>
          </w:tcPr>
          <w:p w14:paraId="4E58B01E" w14:textId="77777777" w:rsidR="00E33B67" w:rsidRPr="00EF0129" w:rsidRDefault="00E33B67" w:rsidP="00EF0129">
            <w:pPr>
              <w:pStyle w:val="NoSpacing"/>
              <w:rPr>
                <w:rFonts w:ascii="Book Antiqua" w:hAnsi="Book Antiqua"/>
                <w:sz w:val="20"/>
                <w:szCs w:val="20"/>
              </w:rPr>
            </w:pPr>
          </w:p>
        </w:tc>
        <w:tc>
          <w:tcPr>
            <w:tcW w:w="2040" w:type="dxa"/>
          </w:tcPr>
          <w:p w14:paraId="3B695D58" w14:textId="77777777" w:rsidR="00E33B67" w:rsidRPr="00EF0129" w:rsidRDefault="00E33B67" w:rsidP="00EF0129">
            <w:pPr>
              <w:pStyle w:val="NoSpacing"/>
              <w:rPr>
                <w:rFonts w:ascii="Book Antiqua" w:hAnsi="Book Antiqua"/>
                <w:sz w:val="20"/>
                <w:szCs w:val="20"/>
              </w:rPr>
            </w:pPr>
          </w:p>
        </w:tc>
        <w:tc>
          <w:tcPr>
            <w:tcW w:w="2268" w:type="dxa"/>
          </w:tcPr>
          <w:p w14:paraId="542EC8C4" w14:textId="77777777" w:rsidR="00E33B67" w:rsidRPr="00EF0129" w:rsidRDefault="00E33B67" w:rsidP="00EF0129">
            <w:pPr>
              <w:pStyle w:val="NoSpacing"/>
              <w:rPr>
                <w:rFonts w:ascii="Book Antiqua" w:hAnsi="Book Antiqua"/>
                <w:sz w:val="20"/>
                <w:szCs w:val="20"/>
              </w:rPr>
            </w:pPr>
          </w:p>
        </w:tc>
        <w:tc>
          <w:tcPr>
            <w:tcW w:w="1504" w:type="dxa"/>
          </w:tcPr>
          <w:p w14:paraId="21D8F234"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Disagree</w:t>
            </w:r>
          </w:p>
        </w:tc>
        <w:tc>
          <w:tcPr>
            <w:cnfStyle w:val="000100000000" w:firstRow="0" w:lastRow="0" w:firstColumn="0" w:lastColumn="1" w:oddVBand="0" w:evenVBand="0" w:oddHBand="0" w:evenHBand="0" w:firstRowFirstColumn="0" w:firstRowLastColumn="0" w:lastRowFirstColumn="0" w:lastRowLastColumn="0"/>
            <w:tcW w:w="1079" w:type="dxa"/>
          </w:tcPr>
          <w:p w14:paraId="1AD0770E"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60</w:t>
            </w:r>
          </w:p>
        </w:tc>
      </w:tr>
      <w:tr w:rsidR="00E33B67" w:rsidRPr="00EF0129" w14:paraId="51895BA4" w14:textId="77777777" w:rsidTr="00D9697C">
        <w:tc>
          <w:tcPr>
            <w:tcW w:w="675" w:type="dxa"/>
          </w:tcPr>
          <w:p w14:paraId="628EF73F" w14:textId="77777777" w:rsidR="00E33B67" w:rsidRPr="00EF0129" w:rsidRDefault="00E33B67" w:rsidP="00EF0129">
            <w:pPr>
              <w:pStyle w:val="NoSpacing"/>
              <w:rPr>
                <w:rFonts w:ascii="Book Antiqua" w:hAnsi="Book Antiqua"/>
                <w:sz w:val="20"/>
                <w:szCs w:val="20"/>
              </w:rPr>
            </w:pPr>
          </w:p>
        </w:tc>
        <w:tc>
          <w:tcPr>
            <w:tcW w:w="1504" w:type="dxa"/>
          </w:tcPr>
          <w:p w14:paraId="21B01D2E" w14:textId="77777777" w:rsidR="00E33B67" w:rsidRPr="00EF0129" w:rsidRDefault="00E33B67" w:rsidP="00EF0129">
            <w:pPr>
              <w:pStyle w:val="NoSpacing"/>
              <w:rPr>
                <w:rFonts w:ascii="Book Antiqua" w:hAnsi="Book Antiqua"/>
                <w:sz w:val="20"/>
                <w:szCs w:val="20"/>
              </w:rPr>
            </w:pPr>
          </w:p>
        </w:tc>
        <w:tc>
          <w:tcPr>
            <w:tcW w:w="2040" w:type="dxa"/>
          </w:tcPr>
          <w:p w14:paraId="7C5C39C3" w14:textId="77777777" w:rsidR="00E33B67" w:rsidRPr="00EF0129" w:rsidRDefault="00E33B67" w:rsidP="00EF0129">
            <w:pPr>
              <w:pStyle w:val="NoSpacing"/>
              <w:rPr>
                <w:rFonts w:ascii="Book Antiqua" w:hAnsi="Book Antiqua"/>
                <w:sz w:val="20"/>
                <w:szCs w:val="20"/>
              </w:rPr>
            </w:pPr>
          </w:p>
        </w:tc>
        <w:tc>
          <w:tcPr>
            <w:tcW w:w="2268" w:type="dxa"/>
          </w:tcPr>
          <w:p w14:paraId="7920D5B0" w14:textId="77777777" w:rsidR="00E33B67" w:rsidRPr="00EF0129" w:rsidRDefault="00E33B67" w:rsidP="00EF0129">
            <w:pPr>
              <w:pStyle w:val="NoSpacing"/>
              <w:rPr>
                <w:rFonts w:ascii="Book Antiqua" w:hAnsi="Book Antiqua"/>
                <w:sz w:val="20"/>
                <w:szCs w:val="20"/>
              </w:rPr>
            </w:pPr>
          </w:p>
        </w:tc>
        <w:tc>
          <w:tcPr>
            <w:tcW w:w="1504" w:type="dxa"/>
          </w:tcPr>
          <w:p w14:paraId="7BB2B7D8"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Strongly disagree</w:t>
            </w:r>
          </w:p>
        </w:tc>
        <w:tc>
          <w:tcPr>
            <w:cnfStyle w:val="000100000000" w:firstRow="0" w:lastRow="0" w:firstColumn="0" w:lastColumn="1" w:oddVBand="0" w:evenVBand="0" w:oddHBand="0" w:evenHBand="0" w:firstRowFirstColumn="0" w:firstRowLastColumn="0" w:lastRowFirstColumn="0" w:lastRowLastColumn="0"/>
            <w:tcW w:w="1079" w:type="dxa"/>
          </w:tcPr>
          <w:p w14:paraId="1243E3DD"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45</w:t>
            </w:r>
          </w:p>
        </w:tc>
      </w:tr>
      <w:tr w:rsidR="00E33B67" w:rsidRPr="00EF0129" w14:paraId="67958B06" w14:textId="77777777" w:rsidTr="00D9697C">
        <w:tc>
          <w:tcPr>
            <w:tcW w:w="675" w:type="dxa"/>
          </w:tcPr>
          <w:p w14:paraId="1D8D91ED"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2</w:t>
            </w:r>
          </w:p>
        </w:tc>
        <w:tc>
          <w:tcPr>
            <w:tcW w:w="1504" w:type="dxa"/>
          </w:tcPr>
          <w:p w14:paraId="5B23E16D"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Short-term memory</w:t>
            </w:r>
          </w:p>
        </w:tc>
        <w:tc>
          <w:tcPr>
            <w:tcW w:w="2040" w:type="dxa"/>
          </w:tcPr>
          <w:p w14:paraId="0A8BF282"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Temporary recall</w:t>
            </w:r>
          </w:p>
        </w:tc>
        <w:tc>
          <w:tcPr>
            <w:tcW w:w="2268" w:type="dxa"/>
          </w:tcPr>
          <w:p w14:paraId="35E32BE3"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Ability to recall material just explained</w:t>
            </w:r>
          </w:p>
        </w:tc>
        <w:tc>
          <w:tcPr>
            <w:tcW w:w="1504" w:type="dxa"/>
          </w:tcPr>
          <w:p w14:paraId="671761F4"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Strongly agree</w:t>
            </w:r>
          </w:p>
        </w:tc>
        <w:tc>
          <w:tcPr>
            <w:cnfStyle w:val="000100000000" w:firstRow="0" w:lastRow="0" w:firstColumn="0" w:lastColumn="1" w:oddVBand="0" w:evenVBand="0" w:oddHBand="0" w:evenHBand="0" w:firstRowFirstColumn="0" w:firstRowLastColumn="0" w:lastRowFirstColumn="0" w:lastRowLastColumn="0"/>
            <w:tcW w:w="1079" w:type="dxa"/>
          </w:tcPr>
          <w:p w14:paraId="0715BA37"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5</w:t>
            </w:r>
          </w:p>
        </w:tc>
      </w:tr>
      <w:tr w:rsidR="00E33B67" w:rsidRPr="00EF0129" w14:paraId="2202492E" w14:textId="77777777" w:rsidTr="00D9697C">
        <w:tc>
          <w:tcPr>
            <w:tcW w:w="675" w:type="dxa"/>
          </w:tcPr>
          <w:p w14:paraId="6F03441C" w14:textId="77777777" w:rsidR="00E33B67" w:rsidRPr="00EF0129" w:rsidRDefault="00E33B67" w:rsidP="00EF0129">
            <w:pPr>
              <w:pStyle w:val="NoSpacing"/>
              <w:rPr>
                <w:rFonts w:ascii="Book Antiqua" w:hAnsi="Book Antiqua"/>
                <w:sz w:val="20"/>
                <w:szCs w:val="20"/>
              </w:rPr>
            </w:pPr>
          </w:p>
        </w:tc>
        <w:tc>
          <w:tcPr>
            <w:tcW w:w="1504" w:type="dxa"/>
          </w:tcPr>
          <w:p w14:paraId="6B58EBB1" w14:textId="77777777" w:rsidR="00E33B67" w:rsidRPr="00EF0129" w:rsidRDefault="00E33B67" w:rsidP="00EF0129">
            <w:pPr>
              <w:pStyle w:val="NoSpacing"/>
              <w:rPr>
                <w:rFonts w:ascii="Book Antiqua" w:hAnsi="Book Antiqua"/>
                <w:sz w:val="20"/>
                <w:szCs w:val="20"/>
              </w:rPr>
            </w:pPr>
          </w:p>
        </w:tc>
        <w:tc>
          <w:tcPr>
            <w:tcW w:w="2040" w:type="dxa"/>
          </w:tcPr>
          <w:p w14:paraId="4D56D984" w14:textId="77777777" w:rsidR="00E33B67" w:rsidRPr="00EF0129" w:rsidRDefault="00E33B67" w:rsidP="00EF0129">
            <w:pPr>
              <w:pStyle w:val="NoSpacing"/>
              <w:rPr>
                <w:rFonts w:ascii="Book Antiqua" w:hAnsi="Book Antiqua"/>
                <w:sz w:val="20"/>
                <w:szCs w:val="20"/>
              </w:rPr>
            </w:pPr>
          </w:p>
        </w:tc>
        <w:tc>
          <w:tcPr>
            <w:tcW w:w="2268" w:type="dxa"/>
          </w:tcPr>
          <w:p w14:paraId="17E36C4E" w14:textId="77777777" w:rsidR="00E33B67" w:rsidRPr="00EF0129" w:rsidRDefault="00E33B67" w:rsidP="00EF0129">
            <w:pPr>
              <w:pStyle w:val="NoSpacing"/>
              <w:rPr>
                <w:rFonts w:ascii="Book Antiqua" w:hAnsi="Book Antiqua"/>
                <w:sz w:val="20"/>
                <w:szCs w:val="20"/>
              </w:rPr>
            </w:pPr>
          </w:p>
        </w:tc>
        <w:tc>
          <w:tcPr>
            <w:tcW w:w="1504" w:type="dxa"/>
          </w:tcPr>
          <w:p w14:paraId="0ABEAD87"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Agree</w:t>
            </w:r>
          </w:p>
        </w:tc>
        <w:tc>
          <w:tcPr>
            <w:cnfStyle w:val="000100000000" w:firstRow="0" w:lastRow="0" w:firstColumn="0" w:lastColumn="1" w:oddVBand="0" w:evenVBand="0" w:oddHBand="0" w:evenHBand="0" w:firstRowFirstColumn="0" w:firstRowLastColumn="0" w:lastRowFirstColumn="0" w:lastRowLastColumn="0"/>
            <w:tcW w:w="1079" w:type="dxa"/>
          </w:tcPr>
          <w:p w14:paraId="5013C891"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20</w:t>
            </w:r>
          </w:p>
        </w:tc>
      </w:tr>
      <w:tr w:rsidR="00E33B67" w:rsidRPr="00EF0129" w14:paraId="48250863" w14:textId="77777777" w:rsidTr="00D9697C">
        <w:tc>
          <w:tcPr>
            <w:tcW w:w="675" w:type="dxa"/>
          </w:tcPr>
          <w:p w14:paraId="4CBE2FC5" w14:textId="77777777" w:rsidR="00E33B67" w:rsidRPr="00EF0129" w:rsidRDefault="00E33B67" w:rsidP="00EF0129">
            <w:pPr>
              <w:pStyle w:val="NoSpacing"/>
              <w:rPr>
                <w:rFonts w:ascii="Book Antiqua" w:hAnsi="Book Antiqua"/>
                <w:sz w:val="20"/>
                <w:szCs w:val="20"/>
              </w:rPr>
            </w:pPr>
          </w:p>
        </w:tc>
        <w:tc>
          <w:tcPr>
            <w:tcW w:w="1504" w:type="dxa"/>
          </w:tcPr>
          <w:p w14:paraId="373B6C0A" w14:textId="77777777" w:rsidR="00E33B67" w:rsidRPr="00EF0129" w:rsidRDefault="00E33B67" w:rsidP="00EF0129">
            <w:pPr>
              <w:pStyle w:val="NoSpacing"/>
              <w:rPr>
                <w:rFonts w:ascii="Book Antiqua" w:hAnsi="Book Antiqua"/>
                <w:sz w:val="20"/>
                <w:szCs w:val="20"/>
              </w:rPr>
            </w:pPr>
          </w:p>
        </w:tc>
        <w:tc>
          <w:tcPr>
            <w:tcW w:w="2040" w:type="dxa"/>
          </w:tcPr>
          <w:p w14:paraId="7DAC7C71" w14:textId="77777777" w:rsidR="00E33B67" w:rsidRPr="00EF0129" w:rsidRDefault="00E33B67" w:rsidP="00EF0129">
            <w:pPr>
              <w:pStyle w:val="NoSpacing"/>
              <w:rPr>
                <w:rFonts w:ascii="Book Antiqua" w:hAnsi="Book Antiqua"/>
                <w:sz w:val="20"/>
                <w:szCs w:val="20"/>
              </w:rPr>
            </w:pPr>
          </w:p>
        </w:tc>
        <w:tc>
          <w:tcPr>
            <w:tcW w:w="2268" w:type="dxa"/>
          </w:tcPr>
          <w:p w14:paraId="5D2EFFD2" w14:textId="77777777" w:rsidR="00E33B67" w:rsidRPr="00EF0129" w:rsidRDefault="00E33B67" w:rsidP="00EF0129">
            <w:pPr>
              <w:pStyle w:val="NoSpacing"/>
              <w:rPr>
                <w:rFonts w:ascii="Book Antiqua" w:hAnsi="Book Antiqua"/>
                <w:sz w:val="20"/>
                <w:szCs w:val="20"/>
              </w:rPr>
            </w:pPr>
          </w:p>
        </w:tc>
        <w:tc>
          <w:tcPr>
            <w:tcW w:w="1504" w:type="dxa"/>
          </w:tcPr>
          <w:p w14:paraId="6F191665"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Neutral</w:t>
            </w:r>
          </w:p>
        </w:tc>
        <w:tc>
          <w:tcPr>
            <w:cnfStyle w:val="000100000000" w:firstRow="0" w:lastRow="0" w:firstColumn="0" w:lastColumn="1" w:oddVBand="0" w:evenVBand="0" w:oddHBand="0" w:evenHBand="0" w:firstRowFirstColumn="0" w:firstRowLastColumn="0" w:lastRowFirstColumn="0" w:lastRowLastColumn="0"/>
            <w:tcW w:w="1079" w:type="dxa"/>
          </w:tcPr>
          <w:p w14:paraId="307D0B3E"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25</w:t>
            </w:r>
          </w:p>
        </w:tc>
      </w:tr>
      <w:tr w:rsidR="00E33B67" w:rsidRPr="00EF0129" w14:paraId="40605A76" w14:textId="77777777" w:rsidTr="00D9697C">
        <w:tc>
          <w:tcPr>
            <w:tcW w:w="675" w:type="dxa"/>
          </w:tcPr>
          <w:p w14:paraId="4FBFA704" w14:textId="77777777" w:rsidR="00E33B67" w:rsidRPr="00EF0129" w:rsidRDefault="00E33B67" w:rsidP="00EF0129">
            <w:pPr>
              <w:pStyle w:val="NoSpacing"/>
              <w:rPr>
                <w:rFonts w:ascii="Book Antiqua" w:hAnsi="Book Antiqua"/>
                <w:sz w:val="20"/>
                <w:szCs w:val="20"/>
              </w:rPr>
            </w:pPr>
          </w:p>
        </w:tc>
        <w:tc>
          <w:tcPr>
            <w:tcW w:w="1504" w:type="dxa"/>
          </w:tcPr>
          <w:p w14:paraId="06771142" w14:textId="77777777" w:rsidR="00E33B67" w:rsidRPr="00EF0129" w:rsidRDefault="00E33B67" w:rsidP="00EF0129">
            <w:pPr>
              <w:pStyle w:val="NoSpacing"/>
              <w:rPr>
                <w:rFonts w:ascii="Book Antiqua" w:hAnsi="Book Antiqua"/>
                <w:sz w:val="20"/>
                <w:szCs w:val="20"/>
              </w:rPr>
            </w:pPr>
          </w:p>
        </w:tc>
        <w:tc>
          <w:tcPr>
            <w:tcW w:w="2040" w:type="dxa"/>
          </w:tcPr>
          <w:p w14:paraId="20DDCB6C" w14:textId="77777777" w:rsidR="00E33B67" w:rsidRPr="00EF0129" w:rsidRDefault="00E33B67" w:rsidP="00EF0129">
            <w:pPr>
              <w:pStyle w:val="NoSpacing"/>
              <w:rPr>
                <w:rFonts w:ascii="Book Antiqua" w:hAnsi="Book Antiqua"/>
                <w:sz w:val="20"/>
                <w:szCs w:val="20"/>
              </w:rPr>
            </w:pPr>
          </w:p>
        </w:tc>
        <w:tc>
          <w:tcPr>
            <w:tcW w:w="2268" w:type="dxa"/>
          </w:tcPr>
          <w:p w14:paraId="77D1BBC8" w14:textId="77777777" w:rsidR="00E33B67" w:rsidRPr="00EF0129" w:rsidRDefault="00E33B67" w:rsidP="00EF0129">
            <w:pPr>
              <w:pStyle w:val="NoSpacing"/>
              <w:rPr>
                <w:rFonts w:ascii="Book Antiqua" w:hAnsi="Book Antiqua"/>
                <w:sz w:val="20"/>
                <w:szCs w:val="20"/>
              </w:rPr>
            </w:pPr>
          </w:p>
        </w:tc>
        <w:tc>
          <w:tcPr>
            <w:tcW w:w="1504" w:type="dxa"/>
          </w:tcPr>
          <w:p w14:paraId="441DE7C9"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Disagree</w:t>
            </w:r>
          </w:p>
        </w:tc>
        <w:tc>
          <w:tcPr>
            <w:cnfStyle w:val="000100000000" w:firstRow="0" w:lastRow="0" w:firstColumn="0" w:lastColumn="1" w:oddVBand="0" w:evenVBand="0" w:oddHBand="0" w:evenHBand="0" w:firstRowFirstColumn="0" w:firstRowLastColumn="0" w:lastRowFirstColumn="0" w:lastRowLastColumn="0"/>
            <w:tcW w:w="1079" w:type="dxa"/>
          </w:tcPr>
          <w:p w14:paraId="4A51D4DF"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65</w:t>
            </w:r>
          </w:p>
        </w:tc>
      </w:tr>
      <w:tr w:rsidR="00E33B67" w:rsidRPr="00EF0129" w14:paraId="16B80A18" w14:textId="77777777" w:rsidTr="00D9697C">
        <w:tc>
          <w:tcPr>
            <w:tcW w:w="675" w:type="dxa"/>
          </w:tcPr>
          <w:p w14:paraId="4B7B267A" w14:textId="77777777" w:rsidR="00E33B67" w:rsidRPr="00EF0129" w:rsidRDefault="00E33B67" w:rsidP="00EF0129">
            <w:pPr>
              <w:pStyle w:val="NoSpacing"/>
              <w:rPr>
                <w:rFonts w:ascii="Book Antiqua" w:hAnsi="Book Antiqua"/>
                <w:sz w:val="20"/>
                <w:szCs w:val="20"/>
              </w:rPr>
            </w:pPr>
          </w:p>
        </w:tc>
        <w:tc>
          <w:tcPr>
            <w:tcW w:w="1504" w:type="dxa"/>
          </w:tcPr>
          <w:p w14:paraId="4E7FE658" w14:textId="77777777" w:rsidR="00E33B67" w:rsidRPr="00EF0129" w:rsidRDefault="00E33B67" w:rsidP="00EF0129">
            <w:pPr>
              <w:pStyle w:val="NoSpacing"/>
              <w:rPr>
                <w:rFonts w:ascii="Book Antiqua" w:hAnsi="Book Antiqua"/>
                <w:sz w:val="20"/>
                <w:szCs w:val="20"/>
              </w:rPr>
            </w:pPr>
          </w:p>
        </w:tc>
        <w:tc>
          <w:tcPr>
            <w:tcW w:w="2040" w:type="dxa"/>
          </w:tcPr>
          <w:p w14:paraId="1BB49783" w14:textId="77777777" w:rsidR="00E33B67" w:rsidRPr="00EF0129" w:rsidRDefault="00E33B67" w:rsidP="00EF0129">
            <w:pPr>
              <w:pStyle w:val="NoSpacing"/>
              <w:rPr>
                <w:rFonts w:ascii="Book Antiqua" w:hAnsi="Book Antiqua"/>
                <w:sz w:val="20"/>
                <w:szCs w:val="20"/>
              </w:rPr>
            </w:pPr>
          </w:p>
        </w:tc>
        <w:tc>
          <w:tcPr>
            <w:tcW w:w="2268" w:type="dxa"/>
          </w:tcPr>
          <w:p w14:paraId="7A253263" w14:textId="77777777" w:rsidR="00E33B67" w:rsidRPr="00EF0129" w:rsidRDefault="00E33B67" w:rsidP="00EF0129">
            <w:pPr>
              <w:pStyle w:val="NoSpacing"/>
              <w:rPr>
                <w:rFonts w:ascii="Book Antiqua" w:hAnsi="Book Antiqua"/>
                <w:sz w:val="20"/>
                <w:szCs w:val="20"/>
              </w:rPr>
            </w:pPr>
          </w:p>
        </w:tc>
        <w:tc>
          <w:tcPr>
            <w:tcW w:w="1504" w:type="dxa"/>
          </w:tcPr>
          <w:p w14:paraId="000AE9D8"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Strongly disagree</w:t>
            </w:r>
          </w:p>
        </w:tc>
        <w:tc>
          <w:tcPr>
            <w:cnfStyle w:val="000100000000" w:firstRow="0" w:lastRow="0" w:firstColumn="0" w:lastColumn="1" w:oddVBand="0" w:evenVBand="0" w:oddHBand="0" w:evenHBand="0" w:firstRowFirstColumn="0" w:firstRowLastColumn="0" w:lastRowFirstColumn="0" w:lastRowLastColumn="0"/>
            <w:tcW w:w="1079" w:type="dxa"/>
          </w:tcPr>
          <w:p w14:paraId="3DB9A9E8"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45</w:t>
            </w:r>
          </w:p>
        </w:tc>
      </w:tr>
      <w:tr w:rsidR="00E33B67" w:rsidRPr="00EF0129" w14:paraId="4BF16DE8" w14:textId="77777777" w:rsidTr="00D9697C">
        <w:tc>
          <w:tcPr>
            <w:tcW w:w="675" w:type="dxa"/>
          </w:tcPr>
          <w:p w14:paraId="2D67EF8B"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3</w:t>
            </w:r>
          </w:p>
        </w:tc>
        <w:tc>
          <w:tcPr>
            <w:tcW w:w="1504" w:type="dxa"/>
          </w:tcPr>
          <w:p w14:paraId="075D8383"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Learning concentration</w:t>
            </w:r>
          </w:p>
        </w:tc>
        <w:tc>
          <w:tcPr>
            <w:tcW w:w="2040" w:type="dxa"/>
          </w:tcPr>
          <w:p w14:paraId="298AEE2A"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Attention focus</w:t>
            </w:r>
          </w:p>
        </w:tc>
        <w:tc>
          <w:tcPr>
            <w:tcW w:w="2268" w:type="dxa"/>
          </w:tcPr>
          <w:p w14:paraId="51DF963A"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Ability to remain focused during the lesson</w:t>
            </w:r>
          </w:p>
        </w:tc>
        <w:tc>
          <w:tcPr>
            <w:tcW w:w="1504" w:type="dxa"/>
          </w:tcPr>
          <w:p w14:paraId="0993082A"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Strongly agree</w:t>
            </w:r>
          </w:p>
        </w:tc>
        <w:tc>
          <w:tcPr>
            <w:cnfStyle w:val="000100000000" w:firstRow="0" w:lastRow="0" w:firstColumn="0" w:lastColumn="1" w:oddVBand="0" w:evenVBand="0" w:oddHBand="0" w:evenHBand="0" w:firstRowFirstColumn="0" w:firstRowLastColumn="0" w:lastRowFirstColumn="0" w:lastRowLastColumn="0"/>
            <w:tcW w:w="1079" w:type="dxa"/>
          </w:tcPr>
          <w:p w14:paraId="68ACE59C"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10</w:t>
            </w:r>
          </w:p>
        </w:tc>
      </w:tr>
      <w:tr w:rsidR="00E33B67" w:rsidRPr="00EF0129" w14:paraId="336109B1" w14:textId="77777777" w:rsidTr="00D9697C">
        <w:tc>
          <w:tcPr>
            <w:tcW w:w="675" w:type="dxa"/>
          </w:tcPr>
          <w:p w14:paraId="08124E21" w14:textId="77777777" w:rsidR="00E33B67" w:rsidRPr="00EF0129" w:rsidRDefault="00E33B67" w:rsidP="00EF0129">
            <w:pPr>
              <w:pStyle w:val="NoSpacing"/>
              <w:rPr>
                <w:rFonts w:ascii="Book Antiqua" w:hAnsi="Book Antiqua"/>
                <w:sz w:val="20"/>
                <w:szCs w:val="20"/>
              </w:rPr>
            </w:pPr>
          </w:p>
        </w:tc>
        <w:tc>
          <w:tcPr>
            <w:tcW w:w="1504" w:type="dxa"/>
          </w:tcPr>
          <w:p w14:paraId="414BEA3B" w14:textId="77777777" w:rsidR="00E33B67" w:rsidRPr="00EF0129" w:rsidRDefault="00E33B67" w:rsidP="00EF0129">
            <w:pPr>
              <w:pStyle w:val="NoSpacing"/>
              <w:rPr>
                <w:rFonts w:ascii="Book Antiqua" w:hAnsi="Book Antiqua"/>
                <w:sz w:val="20"/>
                <w:szCs w:val="20"/>
              </w:rPr>
            </w:pPr>
          </w:p>
        </w:tc>
        <w:tc>
          <w:tcPr>
            <w:tcW w:w="2040" w:type="dxa"/>
          </w:tcPr>
          <w:p w14:paraId="1865B3A6" w14:textId="77777777" w:rsidR="00E33B67" w:rsidRPr="00EF0129" w:rsidRDefault="00E33B67" w:rsidP="00EF0129">
            <w:pPr>
              <w:pStyle w:val="NoSpacing"/>
              <w:rPr>
                <w:rFonts w:ascii="Book Antiqua" w:hAnsi="Book Antiqua"/>
                <w:sz w:val="20"/>
                <w:szCs w:val="20"/>
              </w:rPr>
            </w:pPr>
          </w:p>
        </w:tc>
        <w:tc>
          <w:tcPr>
            <w:tcW w:w="2268" w:type="dxa"/>
          </w:tcPr>
          <w:p w14:paraId="10A9B575" w14:textId="77777777" w:rsidR="00E33B67" w:rsidRPr="00EF0129" w:rsidRDefault="00E33B67" w:rsidP="00EF0129">
            <w:pPr>
              <w:pStyle w:val="NoSpacing"/>
              <w:rPr>
                <w:rFonts w:ascii="Book Antiqua" w:hAnsi="Book Antiqua"/>
                <w:sz w:val="20"/>
                <w:szCs w:val="20"/>
              </w:rPr>
            </w:pPr>
          </w:p>
        </w:tc>
        <w:tc>
          <w:tcPr>
            <w:tcW w:w="1504" w:type="dxa"/>
          </w:tcPr>
          <w:p w14:paraId="59A30E49"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Agree</w:t>
            </w:r>
          </w:p>
        </w:tc>
        <w:tc>
          <w:tcPr>
            <w:cnfStyle w:val="000100000000" w:firstRow="0" w:lastRow="0" w:firstColumn="0" w:lastColumn="1" w:oddVBand="0" w:evenVBand="0" w:oddHBand="0" w:evenHBand="0" w:firstRowFirstColumn="0" w:firstRowLastColumn="0" w:lastRowFirstColumn="0" w:lastRowLastColumn="0"/>
            <w:tcW w:w="1079" w:type="dxa"/>
          </w:tcPr>
          <w:p w14:paraId="5F67FCFB"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15</w:t>
            </w:r>
          </w:p>
        </w:tc>
      </w:tr>
      <w:tr w:rsidR="00E33B67" w:rsidRPr="00EF0129" w14:paraId="42EE8060" w14:textId="77777777" w:rsidTr="00D9697C">
        <w:tc>
          <w:tcPr>
            <w:tcW w:w="675" w:type="dxa"/>
          </w:tcPr>
          <w:p w14:paraId="2CBDA358" w14:textId="77777777" w:rsidR="00E33B67" w:rsidRPr="00EF0129" w:rsidRDefault="00E33B67" w:rsidP="00EF0129">
            <w:pPr>
              <w:pStyle w:val="NoSpacing"/>
              <w:rPr>
                <w:rFonts w:ascii="Book Antiqua" w:hAnsi="Book Antiqua"/>
                <w:sz w:val="20"/>
                <w:szCs w:val="20"/>
              </w:rPr>
            </w:pPr>
          </w:p>
        </w:tc>
        <w:tc>
          <w:tcPr>
            <w:tcW w:w="1504" w:type="dxa"/>
          </w:tcPr>
          <w:p w14:paraId="02302ADC" w14:textId="77777777" w:rsidR="00E33B67" w:rsidRPr="00EF0129" w:rsidRDefault="00E33B67" w:rsidP="00EF0129">
            <w:pPr>
              <w:pStyle w:val="NoSpacing"/>
              <w:rPr>
                <w:rFonts w:ascii="Book Antiqua" w:hAnsi="Book Antiqua"/>
                <w:sz w:val="20"/>
                <w:szCs w:val="20"/>
              </w:rPr>
            </w:pPr>
          </w:p>
        </w:tc>
        <w:tc>
          <w:tcPr>
            <w:tcW w:w="2040" w:type="dxa"/>
          </w:tcPr>
          <w:p w14:paraId="0CE8DCC4" w14:textId="77777777" w:rsidR="00E33B67" w:rsidRPr="00EF0129" w:rsidRDefault="00E33B67" w:rsidP="00EF0129">
            <w:pPr>
              <w:pStyle w:val="NoSpacing"/>
              <w:rPr>
                <w:rFonts w:ascii="Book Antiqua" w:hAnsi="Book Antiqua"/>
                <w:sz w:val="20"/>
                <w:szCs w:val="20"/>
              </w:rPr>
            </w:pPr>
          </w:p>
        </w:tc>
        <w:tc>
          <w:tcPr>
            <w:tcW w:w="2268" w:type="dxa"/>
          </w:tcPr>
          <w:p w14:paraId="5C6A1070" w14:textId="77777777" w:rsidR="00E33B67" w:rsidRPr="00EF0129" w:rsidRDefault="00E33B67" w:rsidP="00EF0129">
            <w:pPr>
              <w:pStyle w:val="NoSpacing"/>
              <w:rPr>
                <w:rFonts w:ascii="Book Antiqua" w:hAnsi="Book Antiqua"/>
                <w:sz w:val="20"/>
                <w:szCs w:val="20"/>
              </w:rPr>
            </w:pPr>
          </w:p>
        </w:tc>
        <w:tc>
          <w:tcPr>
            <w:tcW w:w="1504" w:type="dxa"/>
          </w:tcPr>
          <w:p w14:paraId="6C058339"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Neutral</w:t>
            </w:r>
          </w:p>
        </w:tc>
        <w:tc>
          <w:tcPr>
            <w:cnfStyle w:val="000100000000" w:firstRow="0" w:lastRow="0" w:firstColumn="0" w:lastColumn="1" w:oddVBand="0" w:evenVBand="0" w:oddHBand="0" w:evenHBand="0" w:firstRowFirstColumn="0" w:firstRowLastColumn="0" w:lastRowFirstColumn="0" w:lastRowLastColumn="0"/>
            <w:tcW w:w="1079" w:type="dxa"/>
          </w:tcPr>
          <w:p w14:paraId="2A881DDD"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30</w:t>
            </w:r>
          </w:p>
        </w:tc>
      </w:tr>
      <w:tr w:rsidR="00E33B67" w:rsidRPr="00EF0129" w14:paraId="32BCE3CD" w14:textId="77777777" w:rsidTr="00D9697C">
        <w:tc>
          <w:tcPr>
            <w:tcW w:w="675" w:type="dxa"/>
          </w:tcPr>
          <w:p w14:paraId="52BFBB97" w14:textId="77777777" w:rsidR="00E33B67" w:rsidRPr="00EF0129" w:rsidRDefault="00E33B67" w:rsidP="00EF0129">
            <w:pPr>
              <w:pStyle w:val="NoSpacing"/>
              <w:rPr>
                <w:rFonts w:ascii="Book Antiqua" w:hAnsi="Book Antiqua"/>
                <w:sz w:val="20"/>
                <w:szCs w:val="20"/>
              </w:rPr>
            </w:pPr>
          </w:p>
        </w:tc>
        <w:tc>
          <w:tcPr>
            <w:tcW w:w="1504" w:type="dxa"/>
          </w:tcPr>
          <w:p w14:paraId="208C6C18" w14:textId="77777777" w:rsidR="00E33B67" w:rsidRPr="00EF0129" w:rsidRDefault="00E33B67" w:rsidP="00EF0129">
            <w:pPr>
              <w:pStyle w:val="NoSpacing"/>
              <w:rPr>
                <w:rFonts w:ascii="Book Antiqua" w:hAnsi="Book Antiqua"/>
                <w:sz w:val="20"/>
                <w:szCs w:val="20"/>
              </w:rPr>
            </w:pPr>
          </w:p>
        </w:tc>
        <w:tc>
          <w:tcPr>
            <w:tcW w:w="2040" w:type="dxa"/>
          </w:tcPr>
          <w:p w14:paraId="461B9F33" w14:textId="77777777" w:rsidR="00E33B67" w:rsidRPr="00EF0129" w:rsidRDefault="00E33B67" w:rsidP="00EF0129">
            <w:pPr>
              <w:pStyle w:val="NoSpacing"/>
              <w:rPr>
                <w:rFonts w:ascii="Book Antiqua" w:hAnsi="Book Antiqua"/>
                <w:sz w:val="20"/>
                <w:szCs w:val="20"/>
              </w:rPr>
            </w:pPr>
          </w:p>
        </w:tc>
        <w:tc>
          <w:tcPr>
            <w:tcW w:w="2268" w:type="dxa"/>
          </w:tcPr>
          <w:p w14:paraId="2CB73022" w14:textId="77777777" w:rsidR="00E33B67" w:rsidRPr="00EF0129" w:rsidRDefault="00E33B67" w:rsidP="00EF0129">
            <w:pPr>
              <w:pStyle w:val="NoSpacing"/>
              <w:rPr>
                <w:rFonts w:ascii="Book Antiqua" w:hAnsi="Book Antiqua"/>
                <w:sz w:val="20"/>
                <w:szCs w:val="20"/>
              </w:rPr>
            </w:pPr>
          </w:p>
        </w:tc>
        <w:tc>
          <w:tcPr>
            <w:tcW w:w="1504" w:type="dxa"/>
          </w:tcPr>
          <w:p w14:paraId="0ABE6292"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Disagree</w:t>
            </w:r>
          </w:p>
        </w:tc>
        <w:tc>
          <w:tcPr>
            <w:cnfStyle w:val="000100000000" w:firstRow="0" w:lastRow="0" w:firstColumn="0" w:lastColumn="1" w:oddVBand="0" w:evenVBand="0" w:oddHBand="0" w:evenHBand="0" w:firstRowFirstColumn="0" w:firstRowLastColumn="0" w:lastRowFirstColumn="0" w:lastRowLastColumn="0"/>
            <w:tcW w:w="1079" w:type="dxa"/>
          </w:tcPr>
          <w:p w14:paraId="44D822D3"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60</w:t>
            </w:r>
          </w:p>
        </w:tc>
      </w:tr>
      <w:tr w:rsidR="00E33B67" w:rsidRPr="00EF0129" w14:paraId="70875CFA" w14:textId="77777777" w:rsidTr="00D9697C">
        <w:tc>
          <w:tcPr>
            <w:tcW w:w="675" w:type="dxa"/>
          </w:tcPr>
          <w:p w14:paraId="137BFF93" w14:textId="77777777" w:rsidR="00E33B67" w:rsidRPr="00EF0129" w:rsidRDefault="00E33B67" w:rsidP="00EF0129">
            <w:pPr>
              <w:pStyle w:val="NoSpacing"/>
              <w:rPr>
                <w:rFonts w:ascii="Book Antiqua" w:hAnsi="Book Antiqua"/>
                <w:sz w:val="20"/>
                <w:szCs w:val="20"/>
              </w:rPr>
            </w:pPr>
          </w:p>
        </w:tc>
        <w:tc>
          <w:tcPr>
            <w:tcW w:w="1504" w:type="dxa"/>
          </w:tcPr>
          <w:p w14:paraId="1708648D" w14:textId="77777777" w:rsidR="00E33B67" w:rsidRPr="00EF0129" w:rsidRDefault="00E33B67" w:rsidP="00EF0129">
            <w:pPr>
              <w:pStyle w:val="NoSpacing"/>
              <w:rPr>
                <w:rFonts w:ascii="Book Antiqua" w:hAnsi="Book Antiqua"/>
                <w:sz w:val="20"/>
                <w:szCs w:val="20"/>
              </w:rPr>
            </w:pPr>
          </w:p>
        </w:tc>
        <w:tc>
          <w:tcPr>
            <w:tcW w:w="2040" w:type="dxa"/>
          </w:tcPr>
          <w:p w14:paraId="380626E7" w14:textId="77777777" w:rsidR="00E33B67" w:rsidRPr="00EF0129" w:rsidRDefault="00E33B67" w:rsidP="00EF0129">
            <w:pPr>
              <w:pStyle w:val="NoSpacing"/>
              <w:rPr>
                <w:rFonts w:ascii="Book Antiqua" w:hAnsi="Book Antiqua"/>
                <w:sz w:val="20"/>
                <w:szCs w:val="20"/>
              </w:rPr>
            </w:pPr>
          </w:p>
        </w:tc>
        <w:tc>
          <w:tcPr>
            <w:tcW w:w="2268" w:type="dxa"/>
          </w:tcPr>
          <w:p w14:paraId="5F0F2FCD" w14:textId="77777777" w:rsidR="00E33B67" w:rsidRPr="00EF0129" w:rsidRDefault="00E33B67" w:rsidP="00EF0129">
            <w:pPr>
              <w:pStyle w:val="NoSpacing"/>
              <w:rPr>
                <w:rFonts w:ascii="Book Antiqua" w:hAnsi="Book Antiqua"/>
                <w:sz w:val="20"/>
                <w:szCs w:val="20"/>
              </w:rPr>
            </w:pPr>
          </w:p>
        </w:tc>
        <w:tc>
          <w:tcPr>
            <w:tcW w:w="1504" w:type="dxa"/>
          </w:tcPr>
          <w:p w14:paraId="64A9BB0A"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Strongly disagree</w:t>
            </w:r>
          </w:p>
        </w:tc>
        <w:tc>
          <w:tcPr>
            <w:cnfStyle w:val="000100000000" w:firstRow="0" w:lastRow="0" w:firstColumn="0" w:lastColumn="1" w:oddVBand="0" w:evenVBand="0" w:oddHBand="0" w:evenHBand="0" w:firstRowFirstColumn="0" w:firstRowLastColumn="0" w:lastRowFirstColumn="0" w:lastRowLastColumn="0"/>
            <w:tcW w:w="1079" w:type="dxa"/>
          </w:tcPr>
          <w:p w14:paraId="5E795A3A"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45</w:t>
            </w:r>
          </w:p>
        </w:tc>
      </w:tr>
      <w:tr w:rsidR="00E33B67" w:rsidRPr="00EF0129" w14:paraId="2555B47F" w14:textId="77777777" w:rsidTr="00D9697C">
        <w:tc>
          <w:tcPr>
            <w:tcW w:w="675" w:type="dxa"/>
          </w:tcPr>
          <w:p w14:paraId="1406D0F8"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4</w:t>
            </w:r>
          </w:p>
        </w:tc>
        <w:tc>
          <w:tcPr>
            <w:tcW w:w="1504" w:type="dxa"/>
          </w:tcPr>
          <w:p w14:paraId="648B6E2B"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Information retention</w:t>
            </w:r>
          </w:p>
        </w:tc>
        <w:tc>
          <w:tcPr>
            <w:tcW w:w="2040" w:type="dxa"/>
          </w:tcPr>
          <w:p w14:paraId="540E4AAD"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Memory persistence</w:t>
            </w:r>
          </w:p>
        </w:tc>
        <w:tc>
          <w:tcPr>
            <w:tcW w:w="2268" w:type="dxa"/>
          </w:tcPr>
          <w:p w14:paraId="4353ADA2"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Ability to retain information over time</w:t>
            </w:r>
          </w:p>
        </w:tc>
        <w:tc>
          <w:tcPr>
            <w:tcW w:w="1504" w:type="dxa"/>
          </w:tcPr>
          <w:p w14:paraId="7C38F112"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Strongly agree</w:t>
            </w:r>
          </w:p>
        </w:tc>
        <w:tc>
          <w:tcPr>
            <w:cnfStyle w:val="000100000000" w:firstRow="0" w:lastRow="0" w:firstColumn="0" w:lastColumn="1" w:oddVBand="0" w:evenVBand="0" w:oddHBand="0" w:evenHBand="0" w:firstRowFirstColumn="0" w:firstRowLastColumn="0" w:lastRowFirstColumn="0" w:lastRowLastColumn="0"/>
            <w:tcW w:w="1079" w:type="dxa"/>
          </w:tcPr>
          <w:p w14:paraId="2F853BD9"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20</w:t>
            </w:r>
          </w:p>
        </w:tc>
      </w:tr>
      <w:tr w:rsidR="00E33B67" w:rsidRPr="00EF0129" w14:paraId="41DF2A5A" w14:textId="77777777" w:rsidTr="00D9697C">
        <w:tc>
          <w:tcPr>
            <w:tcW w:w="675" w:type="dxa"/>
          </w:tcPr>
          <w:p w14:paraId="63FA3C9C" w14:textId="77777777" w:rsidR="00E33B67" w:rsidRPr="00EF0129" w:rsidRDefault="00E33B67" w:rsidP="00EF0129">
            <w:pPr>
              <w:pStyle w:val="NoSpacing"/>
              <w:rPr>
                <w:rFonts w:ascii="Book Antiqua" w:hAnsi="Book Antiqua"/>
                <w:sz w:val="20"/>
                <w:szCs w:val="20"/>
              </w:rPr>
            </w:pPr>
          </w:p>
        </w:tc>
        <w:tc>
          <w:tcPr>
            <w:tcW w:w="1504" w:type="dxa"/>
          </w:tcPr>
          <w:p w14:paraId="11F409A9" w14:textId="77777777" w:rsidR="00E33B67" w:rsidRPr="00EF0129" w:rsidRDefault="00E33B67" w:rsidP="00EF0129">
            <w:pPr>
              <w:pStyle w:val="NoSpacing"/>
              <w:rPr>
                <w:rFonts w:ascii="Book Antiqua" w:hAnsi="Book Antiqua"/>
                <w:sz w:val="20"/>
                <w:szCs w:val="20"/>
              </w:rPr>
            </w:pPr>
          </w:p>
        </w:tc>
        <w:tc>
          <w:tcPr>
            <w:tcW w:w="2040" w:type="dxa"/>
          </w:tcPr>
          <w:p w14:paraId="5A235BD4" w14:textId="77777777" w:rsidR="00E33B67" w:rsidRPr="00EF0129" w:rsidRDefault="00E33B67" w:rsidP="00EF0129">
            <w:pPr>
              <w:pStyle w:val="NoSpacing"/>
              <w:rPr>
                <w:rFonts w:ascii="Book Antiqua" w:hAnsi="Book Antiqua"/>
                <w:sz w:val="20"/>
                <w:szCs w:val="20"/>
              </w:rPr>
            </w:pPr>
          </w:p>
        </w:tc>
        <w:tc>
          <w:tcPr>
            <w:tcW w:w="2268" w:type="dxa"/>
          </w:tcPr>
          <w:p w14:paraId="1986C024" w14:textId="77777777" w:rsidR="00E33B67" w:rsidRPr="00EF0129" w:rsidRDefault="00E33B67" w:rsidP="00EF0129">
            <w:pPr>
              <w:pStyle w:val="NoSpacing"/>
              <w:rPr>
                <w:rFonts w:ascii="Book Antiqua" w:hAnsi="Book Antiqua"/>
                <w:sz w:val="20"/>
                <w:szCs w:val="20"/>
              </w:rPr>
            </w:pPr>
          </w:p>
        </w:tc>
        <w:tc>
          <w:tcPr>
            <w:tcW w:w="1504" w:type="dxa"/>
          </w:tcPr>
          <w:p w14:paraId="6185DCAC"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Agree</w:t>
            </w:r>
          </w:p>
        </w:tc>
        <w:tc>
          <w:tcPr>
            <w:cnfStyle w:val="000100000000" w:firstRow="0" w:lastRow="0" w:firstColumn="0" w:lastColumn="1" w:oddVBand="0" w:evenVBand="0" w:oddHBand="0" w:evenHBand="0" w:firstRowFirstColumn="0" w:firstRowLastColumn="0" w:lastRowFirstColumn="0" w:lastRowLastColumn="0"/>
            <w:tcW w:w="1079" w:type="dxa"/>
          </w:tcPr>
          <w:p w14:paraId="676FAA25"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25</w:t>
            </w:r>
          </w:p>
        </w:tc>
      </w:tr>
      <w:tr w:rsidR="00E33B67" w:rsidRPr="00EF0129" w14:paraId="4FE05029" w14:textId="77777777" w:rsidTr="00D9697C">
        <w:tc>
          <w:tcPr>
            <w:tcW w:w="675" w:type="dxa"/>
          </w:tcPr>
          <w:p w14:paraId="2968A187" w14:textId="77777777" w:rsidR="00E33B67" w:rsidRPr="00EF0129" w:rsidRDefault="00E33B67" w:rsidP="00EF0129">
            <w:pPr>
              <w:pStyle w:val="NoSpacing"/>
              <w:rPr>
                <w:rFonts w:ascii="Book Antiqua" w:hAnsi="Book Antiqua"/>
                <w:sz w:val="20"/>
                <w:szCs w:val="20"/>
              </w:rPr>
            </w:pPr>
          </w:p>
        </w:tc>
        <w:tc>
          <w:tcPr>
            <w:tcW w:w="1504" w:type="dxa"/>
          </w:tcPr>
          <w:p w14:paraId="2E0981EC" w14:textId="77777777" w:rsidR="00E33B67" w:rsidRPr="00EF0129" w:rsidRDefault="00E33B67" w:rsidP="00EF0129">
            <w:pPr>
              <w:pStyle w:val="NoSpacing"/>
              <w:rPr>
                <w:rFonts w:ascii="Book Antiqua" w:hAnsi="Book Antiqua"/>
                <w:sz w:val="20"/>
                <w:szCs w:val="20"/>
              </w:rPr>
            </w:pPr>
          </w:p>
        </w:tc>
        <w:tc>
          <w:tcPr>
            <w:tcW w:w="2040" w:type="dxa"/>
          </w:tcPr>
          <w:p w14:paraId="3DCA1852" w14:textId="77777777" w:rsidR="00E33B67" w:rsidRPr="00EF0129" w:rsidRDefault="00E33B67" w:rsidP="00EF0129">
            <w:pPr>
              <w:pStyle w:val="NoSpacing"/>
              <w:rPr>
                <w:rFonts w:ascii="Book Antiqua" w:hAnsi="Book Antiqua"/>
                <w:sz w:val="20"/>
                <w:szCs w:val="20"/>
              </w:rPr>
            </w:pPr>
          </w:p>
        </w:tc>
        <w:tc>
          <w:tcPr>
            <w:tcW w:w="2268" w:type="dxa"/>
          </w:tcPr>
          <w:p w14:paraId="0D13D69C" w14:textId="77777777" w:rsidR="00E33B67" w:rsidRPr="00EF0129" w:rsidRDefault="00E33B67" w:rsidP="00EF0129">
            <w:pPr>
              <w:pStyle w:val="NoSpacing"/>
              <w:rPr>
                <w:rFonts w:ascii="Book Antiqua" w:hAnsi="Book Antiqua"/>
                <w:sz w:val="20"/>
                <w:szCs w:val="20"/>
              </w:rPr>
            </w:pPr>
          </w:p>
        </w:tc>
        <w:tc>
          <w:tcPr>
            <w:tcW w:w="1504" w:type="dxa"/>
          </w:tcPr>
          <w:p w14:paraId="4D1CE9D3"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Neutral</w:t>
            </w:r>
          </w:p>
        </w:tc>
        <w:tc>
          <w:tcPr>
            <w:cnfStyle w:val="000100000000" w:firstRow="0" w:lastRow="0" w:firstColumn="0" w:lastColumn="1" w:oddVBand="0" w:evenVBand="0" w:oddHBand="0" w:evenHBand="0" w:firstRowFirstColumn="0" w:firstRowLastColumn="0" w:lastRowFirstColumn="0" w:lastRowLastColumn="0"/>
            <w:tcW w:w="1079" w:type="dxa"/>
          </w:tcPr>
          <w:p w14:paraId="6943249B"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55</w:t>
            </w:r>
          </w:p>
        </w:tc>
      </w:tr>
      <w:tr w:rsidR="00E33B67" w:rsidRPr="00EF0129" w14:paraId="560AD5D5" w14:textId="77777777" w:rsidTr="00D9697C">
        <w:tc>
          <w:tcPr>
            <w:tcW w:w="675" w:type="dxa"/>
          </w:tcPr>
          <w:p w14:paraId="6B70066A" w14:textId="77777777" w:rsidR="00E33B67" w:rsidRPr="00EF0129" w:rsidRDefault="00E33B67" w:rsidP="00EF0129">
            <w:pPr>
              <w:pStyle w:val="NoSpacing"/>
              <w:rPr>
                <w:rFonts w:ascii="Book Antiqua" w:hAnsi="Book Antiqua"/>
                <w:sz w:val="20"/>
                <w:szCs w:val="20"/>
              </w:rPr>
            </w:pPr>
          </w:p>
        </w:tc>
        <w:tc>
          <w:tcPr>
            <w:tcW w:w="1504" w:type="dxa"/>
          </w:tcPr>
          <w:p w14:paraId="43B30253" w14:textId="77777777" w:rsidR="00E33B67" w:rsidRPr="00EF0129" w:rsidRDefault="00E33B67" w:rsidP="00EF0129">
            <w:pPr>
              <w:pStyle w:val="NoSpacing"/>
              <w:rPr>
                <w:rFonts w:ascii="Book Antiqua" w:hAnsi="Book Antiqua"/>
                <w:sz w:val="20"/>
                <w:szCs w:val="20"/>
              </w:rPr>
            </w:pPr>
          </w:p>
        </w:tc>
        <w:tc>
          <w:tcPr>
            <w:tcW w:w="2040" w:type="dxa"/>
          </w:tcPr>
          <w:p w14:paraId="456D00B2" w14:textId="77777777" w:rsidR="00E33B67" w:rsidRPr="00EF0129" w:rsidRDefault="00E33B67" w:rsidP="00EF0129">
            <w:pPr>
              <w:pStyle w:val="NoSpacing"/>
              <w:rPr>
                <w:rFonts w:ascii="Book Antiqua" w:hAnsi="Book Antiqua"/>
                <w:sz w:val="20"/>
                <w:szCs w:val="20"/>
              </w:rPr>
            </w:pPr>
          </w:p>
        </w:tc>
        <w:tc>
          <w:tcPr>
            <w:tcW w:w="2268" w:type="dxa"/>
          </w:tcPr>
          <w:p w14:paraId="01C07EA4" w14:textId="77777777" w:rsidR="00E33B67" w:rsidRPr="00EF0129" w:rsidRDefault="00E33B67" w:rsidP="00EF0129">
            <w:pPr>
              <w:pStyle w:val="NoSpacing"/>
              <w:rPr>
                <w:rFonts w:ascii="Book Antiqua" w:hAnsi="Book Antiqua"/>
                <w:sz w:val="20"/>
                <w:szCs w:val="20"/>
              </w:rPr>
            </w:pPr>
          </w:p>
        </w:tc>
        <w:tc>
          <w:tcPr>
            <w:tcW w:w="1504" w:type="dxa"/>
          </w:tcPr>
          <w:p w14:paraId="50C7021D"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Disagree</w:t>
            </w:r>
          </w:p>
        </w:tc>
        <w:tc>
          <w:tcPr>
            <w:cnfStyle w:val="000100000000" w:firstRow="0" w:lastRow="0" w:firstColumn="0" w:lastColumn="1" w:oddVBand="0" w:evenVBand="0" w:oddHBand="0" w:evenHBand="0" w:firstRowFirstColumn="0" w:firstRowLastColumn="0" w:lastRowFirstColumn="0" w:lastRowLastColumn="0"/>
            <w:tcW w:w="1079" w:type="dxa"/>
          </w:tcPr>
          <w:p w14:paraId="7DA8F6A3"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55</w:t>
            </w:r>
          </w:p>
        </w:tc>
      </w:tr>
      <w:tr w:rsidR="00E33B67" w:rsidRPr="00EF0129" w14:paraId="5B070C8B" w14:textId="77777777" w:rsidTr="00D9697C">
        <w:tc>
          <w:tcPr>
            <w:tcW w:w="675" w:type="dxa"/>
          </w:tcPr>
          <w:p w14:paraId="78BA27B7" w14:textId="77777777" w:rsidR="00E33B67" w:rsidRPr="00EF0129" w:rsidRDefault="00E33B67" w:rsidP="00EF0129">
            <w:pPr>
              <w:pStyle w:val="NoSpacing"/>
              <w:rPr>
                <w:rFonts w:ascii="Book Antiqua" w:hAnsi="Book Antiqua"/>
                <w:sz w:val="20"/>
                <w:szCs w:val="20"/>
              </w:rPr>
            </w:pPr>
          </w:p>
        </w:tc>
        <w:tc>
          <w:tcPr>
            <w:tcW w:w="1504" w:type="dxa"/>
          </w:tcPr>
          <w:p w14:paraId="1892816F" w14:textId="77777777" w:rsidR="00E33B67" w:rsidRPr="00EF0129" w:rsidRDefault="00E33B67" w:rsidP="00EF0129">
            <w:pPr>
              <w:pStyle w:val="NoSpacing"/>
              <w:rPr>
                <w:rFonts w:ascii="Book Antiqua" w:hAnsi="Book Antiqua"/>
                <w:sz w:val="20"/>
                <w:szCs w:val="20"/>
              </w:rPr>
            </w:pPr>
          </w:p>
        </w:tc>
        <w:tc>
          <w:tcPr>
            <w:tcW w:w="2040" w:type="dxa"/>
          </w:tcPr>
          <w:p w14:paraId="477C2CCE" w14:textId="77777777" w:rsidR="00E33B67" w:rsidRPr="00EF0129" w:rsidRDefault="00E33B67" w:rsidP="00EF0129">
            <w:pPr>
              <w:pStyle w:val="NoSpacing"/>
              <w:rPr>
                <w:rFonts w:ascii="Book Antiqua" w:hAnsi="Book Antiqua"/>
                <w:sz w:val="20"/>
                <w:szCs w:val="20"/>
              </w:rPr>
            </w:pPr>
          </w:p>
        </w:tc>
        <w:tc>
          <w:tcPr>
            <w:tcW w:w="2268" w:type="dxa"/>
          </w:tcPr>
          <w:p w14:paraId="01CFBE7F" w14:textId="77777777" w:rsidR="00E33B67" w:rsidRPr="00EF0129" w:rsidRDefault="00E33B67" w:rsidP="00EF0129">
            <w:pPr>
              <w:pStyle w:val="NoSpacing"/>
              <w:rPr>
                <w:rFonts w:ascii="Book Antiqua" w:hAnsi="Book Antiqua"/>
                <w:sz w:val="20"/>
                <w:szCs w:val="20"/>
              </w:rPr>
            </w:pPr>
          </w:p>
        </w:tc>
        <w:tc>
          <w:tcPr>
            <w:tcW w:w="1504" w:type="dxa"/>
          </w:tcPr>
          <w:p w14:paraId="19CBB195"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Strongly disagree</w:t>
            </w:r>
          </w:p>
        </w:tc>
        <w:tc>
          <w:tcPr>
            <w:cnfStyle w:val="000100000000" w:firstRow="0" w:lastRow="0" w:firstColumn="0" w:lastColumn="1" w:oddVBand="0" w:evenVBand="0" w:oddHBand="0" w:evenHBand="0" w:firstRowFirstColumn="0" w:firstRowLastColumn="0" w:lastRowFirstColumn="0" w:lastRowLastColumn="0"/>
            <w:tcW w:w="1079" w:type="dxa"/>
          </w:tcPr>
          <w:p w14:paraId="36685163"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75</w:t>
            </w:r>
          </w:p>
        </w:tc>
      </w:tr>
    </w:tbl>
    <w:p w14:paraId="38791893" w14:textId="77777777" w:rsidR="00E33B67" w:rsidRPr="00EF0129" w:rsidRDefault="00E33B67" w:rsidP="00EF0129">
      <w:pPr>
        <w:pStyle w:val="NoSpacing"/>
        <w:rPr>
          <w:rFonts w:ascii="Book Antiqua" w:hAnsi="Book Antiqua"/>
          <w:sz w:val="20"/>
          <w:szCs w:val="20"/>
        </w:rPr>
      </w:pPr>
    </w:p>
    <w:p w14:paraId="45EBBFA0" w14:textId="692C63A8" w:rsidR="00E33B67" w:rsidRDefault="00E33B67" w:rsidP="00EF0129">
      <w:pPr>
        <w:pStyle w:val="NoSpacing"/>
        <w:jc w:val="both"/>
        <w:rPr>
          <w:rFonts w:ascii="Book Antiqua" w:hAnsi="Book Antiqua"/>
          <w:sz w:val="24"/>
          <w:szCs w:val="24"/>
        </w:rPr>
      </w:pPr>
      <w:r w:rsidRPr="00EF0129">
        <w:rPr>
          <w:rFonts w:ascii="Book Antiqua" w:hAnsi="Book Antiqua"/>
          <w:sz w:val="24"/>
          <w:szCs w:val="24"/>
        </w:rPr>
        <w:t>The response pattern in Table 2 shows that the largest reported scores were concentrated in the disagree and strongly disagree categories for attention, short-term recall, concentration, and retention. This pattern is consistent with the interview and observation findings and supports the need for a structured medium that requires students to attend to instructions and retrieve information during an activity</w:t>
      </w:r>
      <w:r w:rsidR="00E968D3">
        <w:rPr>
          <w:rFonts w:ascii="Book Antiqua" w:hAnsi="Book Antiqua"/>
          <w:sz w:val="24"/>
          <w:szCs w:val="24"/>
        </w:rPr>
        <w:fldChar w:fldCharType="begin" w:fldLock="1"/>
      </w:r>
      <w:r w:rsidR="004C1BD6">
        <w:rPr>
          <w:rFonts w:ascii="Book Antiqua" w:hAnsi="Book Antiqua"/>
          <w:sz w:val="24"/>
          <w:szCs w:val="24"/>
        </w:rPr>
        <w:instrText>ADDIN CSL_CITATION {"citationItems":[{"id":"ITEM-1","itemData":{"DOI":"10.1186/s40594-020-0203-2","ISSN":"21967822","abstract":"Background: A faculty development program was implemented over four years at a 4-year regional comprehensive university and two partnering community colleges. This project was focused on improving student learning in introductory Science, Technology, Engineering, and Math (STEM) courses at each institution, by helping faculty adopt inclusive, student-centered pedagogies. Survey data were combined with data from classroom videos, faculty interviews, and student questionnaires collected during the first two years of the project to give insight into how faculty initially implemented the theory and strategies they learned and how the students perceived instruction from participating faculty. Results: These data sources were combined to generate four overall themes to characterize our project and guide future projects. These are: (1) implementation of student-centered learning took a variety of forms; (2) quality implementation of student-centered teaching practices lagged behind understanding of the theory behind those practices; (3) the most robust perceived barriers to implementation of student-centered teaching stayed constant, while more moderate barriers were ranked differently from year 1 to year 2; and (4) faculty perceptions of student-centered learning practices were not always the same as students’ perceptions. These themes build from the extant faculty development literature in that they are drawn from the unique context of a multidisciplinary, multi-institutional project, and that they represent an “on the ground” perspective from case studies combined with “big picture” findings from surveys. Conclusions: This paper describes the faculty development project, as well as our collection and interpretation of data from surveys and case studies, to ultimately develop the four themes. Recommendations deriving from these themes are also described. These include modeling a variety of pedagogies; adopting realistic expectations for faculty change; institutionalizing faculty development so it can take place over multiple years; being transparent with faculty about known barriers and aligning supports with those barriers; and helping faculty develop strategies for transparency with students about student-centered pedagogies.","author":[{"dropping-particle":"","family":"Borda","given":"Emily","non-dropping-particle":"","parse-names":false,"suffix":""},{"dropping-particle":"","family":"Schumacher","given":"Emily","non-dropping-particle":"","parse-names":false,"suffix":""},{"dropping-particle":"","family":"Hanley","given":"Daniel","non-dropping-particle":"","parse-names":false,"suffix":""},{"dropping-particle":"","family":"Geary","given":"Edward","non-dropping-particle":"","parse-names":false,"suffix":""},{"dropping-particle":"","family":"Warren","given":"Shannon","non-dropping-particle":"","parse-names":false,"suffix":""},{"dropping-particle":"","family":"Ipsen","given":"Cassidy","non-dropping-particle":"","parse-names":false,"suffix":""},{"dropping-particle":"","family":"Stredicke","given":"Lauren","non-dropping-particle":"","parse-names":false,"suffix":""}],"container-title":"International Journal of STEM Education","id":"ITEM-1","issue":"1","issued":{"date-parts":[["2020"]]},"publisher":"International Journal of STEM Education","title":"Initial implementation of active learning strategies in large, lecture STEM courses: lessons learned from a multi-institutional, interdisciplinary STEM faculty development program","type":"article-journal","volume":"7"},"uris":["http://www.mendeley.com/documents/?uuid=e1cef4e6-4836-460a-9b47-51df32e6459f"]}],"mendeley":{"formattedCitation":"(Borda et al., 2020)","plainTextFormattedCitation":"(Borda et al., 2020)","previouslyFormattedCitation":"(Borda et al., 2020)"},"properties":{"noteIndex":0},"schema":"https://github.com/citation-style-language/schema/raw/master/csl-citation.json"}</w:instrText>
      </w:r>
      <w:r w:rsidR="00E968D3">
        <w:rPr>
          <w:rFonts w:ascii="Book Antiqua" w:hAnsi="Book Antiqua"/>
          <w:sz w:val="24"/>
          <w:szCs w:val="24"/>
        </w:rPr>
        <w:fldChar w:fldCharType="separate"/>
      </w:r>
      <w:r w:rsidR="00E968D3" w:rsidRPr="00E968D3">
        <w:rPr>
          <w:rFonts w:ascii="Book Antiqua" w:hAnsi="Book Antiqua"/>
          <w:noProof/>
          <w:sz w:val="24"/>
          <w:szCs w:val="24"/>
        </w:rPr>
        <w:t>(Borda et al., 2020)</w:t>
      </w:r>
      <w:r w:rsidR="00E968D3">
        <w:rPr>
          <w:rFonts w:ascii="Book Antiqua" w:hAnsi="Book Antiqua"/>
          <w:sz w:val="24"/>
          <w:szCs w:val="24"/>
        </w:rPr>
        <w:fldChar w:fldCharType="end"/>
      </w:r>
      <w:r w:rsidRPr="00EF0129">
        <w:rPr>
          <w:rFonts w:ascii="Book Antiqua" w:hAnsi="Book Antiqua"/>
          <w:sz w:val="24"/>
          <w:szCs w:val="24"/>
        </w:rPr>
        <w:t>.</w:t>
      </w:r>
      <w:r w:rsidR="00D9697C">
        <w:rPr>
          <w:rFonts w:ascii="Book Antiqua" w:hAnsi="Book Antiqua"/>
          <w:sz w:val="24"/>
          <w:szCs w:val="24"/>
        </w:rPr>
        <w:t xml:space="preserve"> </w:t>
      </w:r>
      <w:r w:rsidRPr="00EF0129">
        <w:rPr>
          <w:rFonts w:ascii="Book Antiqua" w:hAnsi="Book Antiqua"/>
          <w:sz w:val="24"/>
          <w:szCs w:val="24"/>
        </w:rPr>
        <w:t>A second questionnaire examined the type of media preferred by students and the availability of supporting school facilities. As with the first questionnaire, the original summary recorded category values as response scores. Table 3 presents those values without treating them as percentages.</w:t>
      </w:r>
    </w:p>
    <w:p w14:paraId="66F822E2" w14:textId="77777777" w:rsidR="00D9697C" w:rsidRPr="00EF0129" w:rsidRDefault="00D9697C" w:rsidP="00EF0129">
      <w:pPr>
        <w:pStyle w:val="NoSpacing"/>
        <w:jc w:val="both"/>
        <w:rPr>
          <w:rFonts w:ascii="Book Antiqua" w:hAnsi="Book Antiqua"/>
          <w:sz w:val="24"/>
          <w:szCs w:val="24"/>
        </w:rPr>
      </w:pPr>
    </w:p>
    <w:p w14:paraId="269ED373" w14:textId="77777777" w:rsidR="00D9697C" w:rsidRDefault="00D9697C" w:rsidP="00EF0129">
      <w:pPr>
        <w:pStyle w:val="NoSpacing"/>
        <w:jc w:val="center"/>
        <w:rPr>
          <w:rFonts w:ascii="Book Antiqua" w:hAnsi="Book Antiqua"/>
          <w:b/>
          <w:sz w:val="24"/>
          <w:szCs w:val="24"/>
        </w:rPr>
      </w:pPr>
    </w:p>
    <w:p w14:paraId="69AB791C" w14:textId="77777777" w:rsidR="00D9697C" w:rsidRDefault="00D9697C" w:rsidP="00EF0129">
      <w:pPr>
        <w:pStyle w:val="NoSpacing"/>
        <w:jc w:val="center"/>
        <w:rPr>
          <w:rFonts w:ascii="Book Antiqua" w:hAnsi="Book Antiqua"/>
          <w:b/>
          <w:sz w:val="24"/>
          <w:szCs w:val="24"/>
        </w:rPr>
      </w:pPr>
    </w:p>
    <w:p w14:paraId="5050D280" w14:textId="77777777" w:rsidR="00D9697C" w:rsidRDefault="00D9697C" w:rsidP="00EF0129">
      <w:pPr>
        <w:pStyle w:val="NoSpacing"/>
        <w:jc w:val="center"/>
        <w:rPr>
          <w:rFonts w:ascii="Book Antiqua" w:hAnsi="Book Antiqua"/>
          <w:b/>
          <w:sz w:val="24"/>
          <w:szCs w:val="24"/>
        </w:rPr>
      </w:pPr>
    </w:p>
    <w:p w14:paraId="21379096" w14:textId="77777777" w:rsidR="00D9697C" w:rsidRDefault="00D9697C" w:rsidP="00EF0129">
      <w:pPr>
        <w:pStyle w:val="NoSpacing"/>
        <w:jc w:val="center"/>
        <w:rPr>
          <w:rFonts w:ascii="Book Antiqua" w:hAnsi="Book Antiqua"/>
          <w:b/>
          <w:sz w:val="24"/>
          <w:szCs w:val="24"/>
        </w:rPr>
      </w:pPr>
    </w:p>
    <w:p w14:paraId="3E31EFBE" w14:textId="77777777" w:rsidR="00D9697C" w:rsidRDefault="00D9697C" w:rsidP="00EF0129">
      <w:pPr>
        <w:pStyle w:val="NoSpacing"/>
        <w:jc w:val="center"/>
        <w:rPr>
          <w:rFonts w:ascii="Book Antiqua" w:hAnsi="Book Antiqua"/>
          <w:b/>
          <w:sz w:val="24"/>
          <w:szCs w:val="24"/>
        </w:rPr>
      </w:pPr>
    </w:p>
    <w:p w14:paraId="1EB3E495" w14:textId="77777777" w:rsidR="00D9697C" w:rsidRDefault="00D9697C" w:rsidP="00EF0129">
      <w:pPr>
        <w:pStyle w:val="NoSpacing"/>
        <w:jc w:val="center"/>
        <w:rPr>
          <w:rFonts w:ascii="Book Antiqua" w:hAnsi="Book Antiqua"/>
          <w:b/>
          <w:sz w:val="24"/>
          <w:szCs w:val="24"/>
        </w:rPr>
      </w:pPr>
    </w:p>
    <w:p w14:paraId="5C733E59" w14:textId="1CC723C4" w:rsidR="00EF0129" w:rsidRPr="00EF0129" w:rsidRDefault="00E33B67" w:rsidP="00EF0129">
      <w:pPr>
        <w:pStyle w:val="NoSpacing"/>
        <w:jc w:val="center"/>
        <w:rPr>
          <w:rFonts w:ascii="Book Antiqua" w:hAnsi="Book Antiqua"/>
          <w:b/>
          <w:sz w:val="24"/>
          <w:szCs w:val="24"/>
        </w:rPr>
      </w:pPr>
      <w:r w:rsidRPr="00EF0129">
        <w:rPr>
          <w:rFonts w:ascii="Book Antiqua" w:hAnsi="Book Antiqua"/>
          <w:b/>
          <w:sz w:val="24"/>
          <w:szCs w:val="24"/>
        </w:rPr>
        <w:lastRenderedPageBreak/>
        <w:t>Table 3. Media Needs Analysis</w:t>
      </w:r>
    </w:p>
    <w:tbl>
      <w:tblPr>
        <w:tblStyle w:val="PlainTable21"/>
        <w:tblW w:w="8934" w:type="dxa"/>
        <w:tblInd w:w="108" w:type="dxa"/>
        <w:tblLook w:val="0720" w:firstRow="1" w:lastRow="0" w:firstColumn="0" w:lastColumn="1" w:noHBand="1" w:noVBand="1"/>
      </w:tblPr>
      <w:tblGrid>
        <w:gridCol w:w="675"/>
        <w:gridCol w:w="1504"/>
        <w:gridCol w:w="1331"/>
        <w:gridCol w:w="2521"/>
        <w:gridCol w:w="1842"/>
        <w:gridCol w:w="1061"/>
      </w:tblGrid>
      <w:tr w:rsidR="00E33B67" w:rsidRPr="00EF0129" w14:paraId="18E89FFF" w14:textId="77777777" w:rsidTr="00D9697C">
        <w:trPr>
          <w:cnfStyle w:val="100000000000" w:firstRow="1" w:lastRow="0" w:firstColumn="0" w:lastColumn="0" w:oddVBand="0" w:evenVBand="0" w:oddHBand="0" w:evenHBand="0" w:firstRowFirstColumn="0" w:firstRowLastColumn="0" w:lastRowFirstColumn="0" w:lastRowLastColumn="0"/>
        </w:trPr>
        <w:tc>
          <w:tcPr>
            <w:tcW w:w="675" w:type="dxa"/>
          </w:tcPr>
          <w:p w14:paraId="5F6E3104" w14:textId="585F25CC"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No</w:t>
            </w:r>
          </w:p>
        </w:tc>
        <w:tc>
          <w:tcPr>
            <w:tcW w:w="1504" w:type="dxa"/>
          </w:tcPr>
          <w:p w14:paraId="215B56D9"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Dimension</w:t>
            </w:r>
          </w:p>
        </w:tc>
        <w:tc>
          <w:tcPr>
            <w:tcW w:w="1331" w:type="dxa"/>
          </w:tcPr>
          <w:p w14:paraId="481F9660"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Aspect</w:t>
            </w:r>
          </w:p>
        </w:tc>
        <w:tc>
          <w:tcPr>
            <w:tcW w:w="2521" w:type="dxa"/>
          </w:tcPr>
          <w:p w14:paraId="7ED8CF04"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Indicator</w:t>
            </w:r>
          </w:p>
        </w:tc>
        <w:tc>
          <w:tcPr>
            <w:tcW w:w="1842" w:type="dxa"/>
          </w:tcPr>
          <w:p w14:paraId="5E8ACD1A"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Response Option</w:t>
            </w:r>
          </w:p>
        </w:tc>
        <w:tc>
          <w:tcPr>
            <w:cnfStyle w:val="000100000000" w:firstRow="0" w:lastRow="0" w:firstColumn="0" w:lastColumn="1" w:oddVBand="0" w:evenVBand="0" w:oddHBand="0" w:evenHBand="0" w:firstRowFirstColumn="0" w:firstRowLastColumn="0" w:lastRowFirstColumn="0" w:lastRowLastColumn="0"/>
            <w:tcW w:w="1061" w:type="dxa"/>
          </w:tcPr>
          <w:p w14:paraId="0DEB5A01"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Reported Score</w:t>
            </w:r>
          </w:p>
        </w:tc>
      </w:tr>
      <w:tr w:rsidR="00E33B67" w:rsidRPr="00EF0129" w14:paraId="6570038F" w14:textId="77777777" w:rsidTr="00D9697C">
        <w:tc>
          <w:tcPr>
            <w:tcW w:w="675" w:type="dxa"/>
          </w:tcPr>
          <w:p w14:paraId="2F4EC5FD"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1</w:t>
            </w:r>
          </w:p>
        </w:tc>
        <w:tc>
          <w:tcPr>
            <w:tcW w:w="1504" w:type="dxa"/>
          </w:tcPr>
          <w:p w14:paraId="7C0E5844"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Media needs</w:t>
            </w:r>
          </w:p>
        </w:tc>
        <w:tc>
          <w:tcPr>
            <w:tcW w:w="1331" w:type="dxa"/>
          </w:tcPr>
          <w:p w14:paraId="4D5D3558"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Media type</w:t>
            </w:r>
          </w:p>
        </w:tc>
        <w:tc>
          <w:tcPr>
            <w:tcW w:w="2521" w:type="dxa"/>
          </w:tcPr>
          <w:p w14:paraId="0BD44890"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Need for interactive and engaging media</w:t>
            </w:r>
          </w:p>
        </w:tc>
        <w:tc>
          <w:tcPr>
            <w:tcW w:w="1842" w:type="dxa"/>
          </w:tcPr>
          <w:p w14:paraId="69F07CC0"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Strongly agree</w:t>
            </w:r>
          </w:p>
        </w:tc>
        <w:tc>
          <w:tcPr>
            <w:cnfStyle w:val="000100000000" w:firstRow="0" w:lastRow="0" w:firstColumn="0" w:lastColumn="1" w:oddVBand="0" w:evenVBand="0" w:oddHBand="0" w:evenHBand="0" w:firstRowFirstColumn="0" w:firstRowLastColumn="0" w:lastRowFirstColumn="0" w:lastRowLastColumn="0"/>
            <w:tcW w:w="1061" w:type="dxa"/>
          </w:tcPr>
          <w:p w14:paraId="49EEB3AE"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70</w:t>
            </w:r>
          </w:p>
        </w:tc>
      </w:tr>
      <w:tr w:rsidR="00E33B67" w:rsidRPr="00EF0129" w14:paraId="059C088F" w14:textId="77777777" w:rsidTr="00D9697C">
        <w:tc>
          <w:tcPr>
            <w:tcW w:w="675" w:type="dxa"/>
          </w:tcPr>
          <w:p w14:paraId="15456DA1" w14:textId="77777777" w:rsidR="00E33B67" w:rsidRPr="00EF0129" w:rsidRDefault="00E33B67" w:rsidP="00EF0129">
            <w:pPr>
              <w:pStyle w:val="NoSpacing"/>
              <w:rPr>
                <w:rFonts w:ascii="Book Antiqua" w:hAnsi="Book Antiqua"/>
                <w:sz w:val="20"/>
                <w:szCs w:val="20"/>
              </w:rPr>
            </w:pPr>
          </w:p>
        </w:tc>
        <w:tc>
          <w:tcPr>
            <w:tcW w:w="1504" w:type="dxa"/>
          </w:tcPr>
          <w:p w14:paraId="238B6373" w14:textId="77777777" w:rsidR="00E33B67" w:rsidRPr="00EF0129" w:rsidRDefault="00E33B67" w:rsidP="00EF0129">
            <w:pPr>
              <w:pStyle w:val="NoSpacing"/>
              <w:rPr>
                <w:rFonts w:ascii="Book Antiqua" w:hAnsi="Book Antiqua"/>
                <w:sz w:val="20"/>
                <w:szCs w:val="20"/>
              </w:rPr>
            </w:pPr>
          </w:p>
        </w:tc>
        <w:tc>
          <w:tcPr>
            <w:tcW w:w="1331" w:type="dxa"/>
          </w:tcPr>
          <w:p w14:paraId="357301D4" w14:textId="77777777" w:rsidR="00E33B67" w:rsidRPr="00EF0129" w:rsidRDefault="00E33B67" w:rsidP="00EF0129">
            <w:pPr>
              <w:pStyle w:val="NoSpacing"/>
              <w:rPr>
                <w:rFonts w:ascii="Book Antiqua" w:hAnsi="Book Antiqua"/>
                <w:sz w:val="20"/>
                <w:szCs w:val="20"/>
              </w:rPr>
            </w:pPr>
          </w:p>
        </w:tc>
        <w:tc>
          <w:tcPr>
            <w:tcW w:w="2521" w:type="dxa"/>
          </w:tcPr>
          <w:p w14:paraId="1819EDB2" w14:textId="77777777" w:rsidR="00E33B67" w:rsidRPr="00EF0129" w:rsidRDefault="00E33B67" w:rsidP="00EF0129">
            <w:pPr>
              <w:pStyle w:val="NoSpacing"/>
              <w:rPr>
                <w:rFonts w:ascii="Book Antiqua" w:hAnsi="Book Antiqua"/>
                <w:sz w:val="20"/>
                <w:szCs w:val="20"/>
              </w:rPr>
            </w:pPr>
          </w:p>
        </w:tc>
        <w:tc>
          <w:tcPr>
            <w:tcW w:w="1842" w:type="dxa"/>
          </w:tcPr>
          <w:p w14:paraId="35C08AAD"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Agree</w:t>
            </w:r>
          </w:p>
        </w:tc>
        <w:tc>
          <w:tcPr>
            <w:cnfStyle w:val="000100000000" w:firstRow="0" w:lastRow="0" w:firstColumn="0" w:lastColumn="1" w:oddVBand="0" w:evenVBand="0" w:oddHBand="0" w:evenHBand="0" w:firstRowFirstColumn="0" w:firstRowLastColumn="0" w:lastRowFirstColumn="0" w:lastRowLastColumn="0"/>
            <w:tcW w:w="1061" w:type="dxa"/>
          </w:tcPr>
          <w:p w14:paraId="3694CD7D"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35</w:t>
            </w:r>
          </w:p>
        </w:tc>
      </w:tr>
      <w:tr w:rsidR="00E33B67" w:rsidRPr="00EF0129" w14:paraId="0F81823F" w14:textId="77777777" w:rsidTr="00D9697C">
        <w:tc>
          <w:tcPr>
            <w:tcW w:w="675" w:type="dxa"/>
          </w:tcPr>
          <w:p w14:paraId="4E0108C0" w14:textId="77777777" w:rsidR="00E33B67" w:rsidRPr="00EF0129" w:rsidRDefault="00E33B67" w:rsidP="00EF0129">
            <w:pPr>
              <w:pStyle w:val="NoSpacing"/>
              <w:rPr>
                <w:rFonts w:ascii="Book Antiqua" w:hAnsi="Book Antiqua"/>
                <w:sz w:val="20"/>
                <w:szCs w:val="20"/>
              </w:rPr>
            </w:pPr>
          </w:p>
        </w:tc>
        <w:tc>
          <w:tcPr>
            <w:tcW w:w="1504" w:type="dxa"/>
          </w:tcPr>
          <w:p w14:paraId="18B98D70" w14:textId="77777777" w:rsidR="00E33B67" w:rsidRPr="00EF0129" w:rsidRDefault="00E33B67" w:rsidP="00EF0129">
            <w:pPr>
              <w:pStyle w:val="NoSpacing"/>
              <w:rPr>
                <w:rFonts w:ascii="Book Antiqua" w:hAnsi="Book Antiqua"/>
                <w:sz w:val="20"/>
                <w:szCs w:val="20"/>
              </w:rPr>
            </w:pPr>
          </w:p>
        </w:tc>
        <w:tc>
          <w:tcPr>
            <w:tcW w:w="1331" w:type="dxa"/>
          </w:tcPr>
          <w:p w14:paraId="2173B371" w14:textId="77777777" w:rsidR="00E33B67" w:rsidRPr="00EF0129" w:rsidRDefault="00E33B67" w:rsidP="00EF0129">
            <w:pPr>
              <w:pStyle w:val="NoSpacing"/>
              <w:rPr>
                <w:rFonts w:ascii="Book Antiqua" w:hAnsi="Book Antiqua"/>
                <w:sz w:val="20"/>
                <w:szCs w:val="20"/>
              </w:rPr>
            </w:pPr>
          </w:p>
        </w:tc>
        <w:tc>
          <w:tcPr>
            <w:tcW w:w="2521" w:type="dxa"/>
          </w:tcPr>
          <w:p w14:paraId="6EB7C0E7" w14:textId="77777777" w:rsidR="00E33B67" w:rsidRPr="00EF0129" w:rsidRDefault="00E33B67" w:rsidP="00EF0129">
            <w:pPr>
              <w:pStyle w:val="NoSpacing"/>
              <w:rPr>
                <w:rFonts w:ascii="Book Antiqua" w:hAnsi="Book Antiqua"/>
                <w:sz w:val="20"/>
                <w:szCs w:val="20"/>
              </w:rPr>
            </w:pPr>
          </w:p>
        </w:tc>
        <w:tc>
          <w:tcPr>
            <w:tcW w:w="1842" w:type="dxa"/>
          </w:tcPr>
          <w:p w14:paraId="1A70495E"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Neutral</w:t>
            </w:r>
          </w:p>
        </w:tc>
        <w:tc>
          <w:tcPr>
            <w:cnfStyle w:val="000100000000" w:firstRow="0" w:lastRow="0" w:firstColumn="0" w:lastColumn="1" w:oddVBand="0" w:evenVBand="0" w:oddHBand="0" w:evenHBand="0" w:firstRowFirstColumn="0" w:firstRowLastColumn="0" w:lastRowFirstColumn="0" w:lastRowLastColumn="0"/>
            <w:tcW w:w="1061" w:type="dxa"/>
          </w:tcPr>
          <w:p w14:paraId="60BB60E8"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10</w:t>
            </w:r>
          </w:p>
        </w:tc>
      </w:tr>
      <w:tr w:rsidR="00E33B67" w:rsidRPr="00EF0129" w14:paraId="6910A40B" w14:textId="77777777" w:rsidTr="00D9697C">
        <w:tc>
          <w:tcPr>
            <w:tcW w:w="675" w:type="dxa"/>
          </w:tcPr>
          <w:p w14:paraId="766E55D1" w14:textId="77777777" w:rsidR="00E33B67" w:rsidRPr="00EF0129" w:rsidRDefault="00E33B67" w:rsidP="00EF0129">
            <w:pPr>
              <w:pStyle w:val="NoSpacing"/>
              <w:rPr>
                <w:rFonts w:ascii="Book Antiqua" w:hAnsi="Book Antiqua"/>
                <w:sz w:val="20"/>
                <w:szCs w:val="20"/>
              </w:rPr>
            </w:pPr>
          </w:p>
        </w:tc>
        <w:tc>
          <w:tcPr>
            <w:tcW w:w="1504" w:type="dxa"/>
          </w:tcPr>
          <w:p w14:paraId="01DF3634" w14:textId="77777777" w:rsidR="00E33B67" w:rsidRPr="00EF0129" w:rsidRDefault="00E33B67" w:rsidP="00EF0129">
            <w:pPr>
              <w:pStyle w:val="NoSpacing"/>
              <w:rPr>
                <w:rFonts w:ascii="Book Antiqua" w:hAnsi="Book Antiqua"/>
                <w:sz w:val="20"/>
                <w:szCs w:val="20"/>
              </w:rPr>
            </w:pPr>
          </w:p>
        </w:tc>
        <w:tc>
          <w:tcPr>
            <w:tcW w:w="1331" w:type="dxa"/>
          </w:tcPr>
          <w:p w14:paraId="6B2F255B" w14:textId="77777777" w:rsidR="00E33B67" w:rsidRPr="00EF0129" w:rsidRDefault="00E33B67" w:rsidP="00EF0129">
            <w:pPr>
              <w:pStyle w:val="NoSpacing"/>
              <w:rPr>
                <w:rFonts w:ascii="Book Antiqua" w:hAnsi="Book Antiqua"/>
                <w:sz w:val="20"/>
                <w:szCs w:val="20"/>
              </w:rPr>
            </w:pPr>
          </w:p>
        </w:tc>
        <w:tc>
          <w:tcPr>
            <w:tcW w:w="2521" w:type="dxa"/>
          </w:tcPr>
          <w:p w14:paraId="0AB9044F" w14:textId="77777777" w:rsidR="00E33B67" w:rsidRPr="00EF0129" w:rsidRDefault="00E33B67" w:rsidP="00EF0129">
            <w:pPr>
              <w:pStyle w:val="NoSpacing"/>
              <w:rPr>
                <w:rFonts w:ascii="Book Antiqua" w:hAnsi="Book Antiqua"/>
                <w:sz w:val="20"/>
                <w:szCs w:val="20"/>
              </w:rPr>
            </w:pPr>
          </w:p>
        </w:tc>
        <w:tc>
          <w:tcPr>
            <w:tcW w:w="1842" w:type="dxa"/>
          </w:tcPr>
          <w:p w14:paraId="76E6F2A2"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Disagree</w:t>
            </w:r>
          </w:p>
        </w:tc>
        <w:tc>
          <w:tcPr>
            <w:cnfStyle w:val="000100000000" w:firstRow="0" w:lastRow="0" w:firstColumn="0" w:lastColumn="1" w:oddVBand="0" w:evenVBand="0" w:oddHBand="0" w:evenHBand="0" w:firstRowFirstColumn="0" w:firstRowLastColumn="0" w:lastRowFirstColumn="0" w:lastRowLastColumn="0"/>
            <w:tcW w:w="1061" w:type="dxa"/>
          </w:tcPr>
          <w:p w14:paraId="14F729F0"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5</w:t>
            </w:r>
          </w:p>
        </w:tc>
      </w:tr>
      <w:tr w:rsidR="00E33B67" w:rsidRPr="00EF0129" w14:paraId="6449276F" w14:textId="77777777" w:rsidTr="00D9697C">
        <w:tc>
          <w:tcPr>
            <w:tcW w:w="675" w:type="dxa"/>
          </w:tcPr>
          <w:p w14:paraId="3E721B41" w14:textId="77777777" w:rsidR="00E33B67" w:rsidRPr="00EF0129" w:rsidRDefault="00E33B67" w:rsidP="00EF0129">
            <w:pPr>
              <w:pStyle w:val="NoSpacing"/>
              <w:rPr>
                <w:rFonts w:ascii="Book Antiqua" w:hAnsi="Book Antiqua"/>
                <w:sz w:val="20"/>
                <w:szCs w:val="20"/>
              </w:rPr>
            </w:pPr>
          </w:p>
        </w:tc>
        <w:tc>
          <w:tcPr>
            <w:tcW w:w="1504" w:type="dxa"/>
          </w:tcPr>
          <w:p w14:paraId="3A8C5D9D" w14:textId="77777777" w:rsidR="00E33B67" w:rsidRPr="00EF0129" w:rsidRDefault="00E33B67" w:rsidP="00EF0129">
            <w:pPr>
              <w:pStyle w:val="NoSpacing"/>
              <w:rPr>
                <w:rFonts w:ascii="Book Antiqua" w:hAnsi="Book Antiqua"/>
                <w:sz w:val="20"/>
                <w:szCs w:val="20"/>
              </w:rPr>
            </w:pPr>
          </w:p>
        </w:tc>
        <w:tc>
          <w:tcPr>
            <w:tcW w:w="1331" w:type="dxa"/>
          </w:tcPr>
          <w:p w14:paraId="35F01113" w14:textId="77777777" w:rsidR="00E33B67" w:rsidRPr="00EF0129" w:rsidRDefault="00E33B67" w:rsidP="00EF0129">
            <w:pPr>
              <w:pStyle w:val="NoSpacing"/>
              <w:rPr>
                <w:rFonts w:ascii="Book Antiqua" w:hAnsi="Book Antiqua"/>
                <w:sz w:val="20"/>
                <w:szCs w:val="20"/>
              </w:rPr>
            </w:pPr>
          </w:p>
        </w:tc>
        <w:tc>
          <w:tcPr>
            <w:tcW w:w="2521" w:type="dxa"/>
          </w:tcPr>
          <w:p w14:paraId="55CBD2DA" w14:textId="77777777" w:rsidR="00E33B67" w:rsidRPr="00EF0129" w:rsidRDefault="00E33B67" w:rsidP="00EF0129">
            <w:pPr>
              <w:pStyle w:val="NoSpacing"/>
              <w:rPr>
                <w:rFonts w:ascii="Book Antiqua" w:hAnsi="Book Antiqua"/>
                <w:sz w:val="20"/>
                <w:szCs w:val="20"/>
              </w:rPr>
            </w:pPr>
          </w:p>
        </w:tc>
        <w:tc>
          <w:tcPr>
            <w:tcW w:w="1842" w:type="dxa"/>
          </w:tcPr>
          <w:p w14:paraId="0764E3F1"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Strongly disagree</w:t>
            </w:r>
          </w:p>
        </w:tc>
        <w:tc>
          <w:tcPr>
            <w:cnfStyle w:val="000100000000" w:firstRow="0" w:lastRow="0" w:firstColumn="0" w:lastColumn="1" w:oddVBand="0" w:evenVBand="0" w:oddHBand="0" w:evenHBand="0" w:firstRowFirstColumn="0" w:firstRowLastColumn="0" w:lastRowFirstColumn="0" w:lastRowLastColumn="0"/>
            <w:tcW w:w="1061" w:type="dxa"/>
          </w:tcPr>
          <w:p w14:paraId="448959DC"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10</w:t>
            </w:r>
          </w:p>
        </w:tc>
      </w:tr>
      <w:tr w:rsidR="00E33B67" w:rsidRPr="00EF0129" w14:paraId="66F39CB5" w14:textId="77777777" w:rsidTr="00D9697C">
        <w:tc>
          <w:tcPr>
            <w:tcW w:w="675" w:type="dxa"/>
          </w:tcPr>
          <w:p w14:paraId="657AB759"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2</w:t>
            </w:r>
          </w:p>
        </w:tc>
        <w:tc>
          <w:tcPr>
            <w:tcW w:w="1504" w:type="dxa"/>
          </w:tcPr>
          <w:p w14:paraId="2FD8ABFF"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Learner characteristics</w:t>
            </w:r>
          </w:p>
        </w:tc>
        <w:tc>
          <w:tcPr>
            <w:tcW w:w="1331" w:type="dxa"/>
          </w:tcPr>
          <w:p w14:paraId="264B273C"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Learning style</w:t>
            </w:r>
          </w:p>
        </w:tc>
        <w:tc>
          <w:tcPr>
            <w:tcW w:w="2521" w:type="dxa"/>
          </w:tcPr>
          <w:p w14:paraId="2C2CFB38"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Hands-on media support understanding</w:t>
            </w:r>
          </w:p>
        </w:tc>
        <w:tc>
          <w:tcPr>
            <w:tcW w:w="1842" w:type="dxa"/>
          </w:tcPr>
          <w:p w14:paraId="54AE65B0"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Strongly agree</w:t>
            </w:r>
          </w:p>
        </w:tc>
        <w:tc>
          <w:tcPr>
            <w:cnfStyle w:val="000100000000" w:firstRow="0" w:lastRow="0" w:firstColumn="0" w:lastColumn="1" w:oddVBand="0" w:evenVBand="0" w:oddHBand="0" w:evenHBand="0" w:firstRowFirstColumn="0" w:firstRowLastColumn="0" w:lastRowFirstColumn="0" w:lastRowLastColumn="0"/>
            <w:tcW w:w="1061" w:type="dxa"/>
          </w:tcPr>
          <w:p w14:paraId="418002AE"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85</w:t>
            </w:r>
          </w:p>
        </w:tc>
      </w:tr>
      <w:tr w:rsidR="00E33B67" w:rsidRPr="00EF0129" w14:paraId="281F4D91" w14:textId="77777777" w:rsidTr="00D9697C">
        <w:tc>
          <w:tcPr>
            <w:tcW w:w="675" w:type="dxa"/>
          </w:tcPr>
          <w:p w14:paraId="2ACFC13E" w14:textId="77777777" w:rsidR="00E33B67" w:rsidRPr="00EF0129" w:rsidRDefault="00E33B67" w:rsidP="00EF0129">
            <w:pPr>
              <w:pStyle w:val="NoSpacing"/>
              <w:rPr>
                <w:rFonts w:ascii="Book Antiqua" w:hAnsi="Book Antiqua"/>
                <w:sz w:val="20"/>
                <w:szCs w:val="20"/>
              </w:rPr>
            </w:pPr>
          </w:p>
        </w:tc>
        <w:tc>
          <w:tcPr>
            <w:tcW w:w="1504" w:type="dxa"/>
          </w:tcPr>
          <w:p w14:paraId="7F353A2A" w14:textId="77777777" w:rsidR="00E33B67" w:rsidRPr="00EF0129" w:rsidRDefault="00E33B67" w:rsidP="00EF0129">
            <w:pPr>
              <w:pStyle w:val="NoSpacing"/>
              <w:rPr>
                <w:rFonts w:ascii="Book Antiqua" w:hAnsi="Book Antiqua"/>
                <w:sz w:val="20"/>
                <w:szCs w:val="20"/>
              </w:rPr>
            </w:pPr>
          </w:p>
        </w:tc>
        <w:tc>
          <w:tcPr>
            <w:tcW w:w="1331" w:type="dxa"/>
          </w:tcPr>
          <w:p w14:paraId="38056AE0" w14:textId="77777777" w:rsidR="00E33B67" w:rsidRPr="00EF0129" w:rsidRDefault="00E33B67" w:rsidP="00EF0129">
            <w:pPr>
              <w:pStyle w:val="NoSpacing"/>
              <w:rPr>
                <w:rFonts w:ascii="Book Antiqua" w:hAnsi="Book Antiqua"/>
                <w:sz w:val="20"/>
                <w:szCs w:val="20"/>
              </w:rPr>
            </w:pPr>
          </w:p>
        </w:tc>
        <w:tc>
          <w:tcPr>
            <w:tcW w:w="2521" w:type="dxa"/>
          </w:tcPr>
          <w:p w14:paraId="42E1D28A" w14:textId="77777777" w:rsidR="00E33B67" w:rsidRPr="00EF0129" w:rsidRDefault="00E33B67" w:rsidP="00EF0129">
            <w:pPr>
              <w:pStyle w:val="NoSpacing"/>
              <w:rPr>
                <w:rFonts w:ascii="Book Antiqua" w:hAnsi="Book Antiqua"/>
                <w:sz w:val="20"/>
                <w:szCs w:val="20"/>
              </w:rPr>
            </w:pPr>
          </w:p>
        </w:tc>
        <w:tc>
          <w:tcPr>
            <w:tcW w:w="1842" w:type="dxa"/>
          </w:tcPr>
          <w:p w14:paraId="6C56D6B1"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Agree</w:t>
            </w:r>
          </w:p>
        </w:tc>
        <w:tc>
          <w:tcPr>
            <w:cnfStyle w:val="000100000000" w:firstRow="0" w:lastRow="0" w:firstColumn="0" w:lastColumn="1" w:oddVBand="0" w:evenVBand="0" w:oddHBand="0" w:evenHBand="0" w:firstRowFirstColumn="0" w:firstRowLastColumn="0" w:lastRowFirstColumn="0" w:lastRowLastColumn="0"/>
            <w:tcW w:w="1061" w:type="dxa"/>
          </w:tcPr>
          <w:p w14:paraId="5A7726FB"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25</w:t>
            </w:r>
          </w:p>
        </w:tc>
      </w:tr>
      <w:tr w:rsidR="00E33B67" w:rsidRPr="00EF0129" w14:paraId="30C8B222" w14:textId="77777777" w:rsidTr="00D9697C">
        <w:tc>
          <w:tcPr>
            <w:tcW w:w="675" w:type="dxa"/>
          </w:tcPr>
          <w:p w14:paraId="53EF7A1C" w14:textId="77777777" w:rsidR="00E33B67" w:rsidRPr="00EF0129" w:rsidRDefault="00E33B67" w:rsidP="00EF0129">
            <w:pPr>
              <w:pStyle w:val="NoSpacing"/>
              <w:rPr>
                <w:rFonts w:ascii="Book Antiqua" w:hAnsi="Book Antiqua"/>
                <w:sz w:val="20"/>
                <w:szCs w:val="20"/>
              </w:rPr>
            </w:pPr>
          </w:p>
        </w:tc>
        <w:tc>
          <w:tcPr>
            <w:tcW w:w="1504" w:type="dxa"/>
          </w:tcPr>
          <w:p w14:paraId="252C541F" w14:textId="77777777" w:rsidR="00E33B67" w:rsidRPr="00EF0129" w:rsidRDefault="00E33B67" w:rsidP="00EF0129">
            <w:pPr>
              <w:pStyle w:val="NoSpacing"/>
              <w:rPr>
                <w:rFonts w:ascii="Book Antiqua" w:hAnsi="Book Antiqua"/>
                <w:sz w:val="20"/>
                <w:szCs w:val="20"/>
              </w:rPr>
            </w:pPr>
          </w:p>
        </w:tc>
        <w:tc>
          <w:tcPr>
            <w:tcW w:w="1331" w:type="dxa"/>
          </w:tcPr>
          <w:p w14:paraId="30A3FBD5" w14:textId="77777777" w:rsidR="00E33B67" w:rsidRPr="00EF0129" w:rsidRDefault="00E33B67" w:rsidP="00EF0129">
            <w:pPr>
              <w:pStyle w:val="NoSpacing"/>
              <w:rPr>
                <w:rFonts w:ascii="Book Antiqua" w:hAnsi="Book Antiqua"/>
                <w:sz w:val="20"/>
                <w:szCs w:val="20"/>
              </w:rPr>
            </w:pPr>
          </w:p>
        </w:tc>
        <w:tc>
          <w:tcPr>
            <w:tcW w:w="2521" w:type="dxa"/>
          </w:tcPr>
          <w:p w14:paraId="1E00FAAA" w14:textId="77777777" w:rsidR="00E33B67" w:rsidRPr="00EF0129" w:rsidRDefault="00E33B67" w:rsidP="00EF0129">
            <w:pPr>
              <w:pStyle w:val="NoSpacing"/>
              <w:rPr>
                <w:rFonts w:ascii="Book Antiqua" w:hAnsi="Book Antiqua"/>
                <w:sz w:val="20"/>
                <w:szCs w:val="20"/>
              </w:rPr>
            </w:pPr>
          </w:p>
        </w:tc>
        <w:tc>
          <w:tcPr>
            <w:tcW w:w="1842" w:type="dxa"/>
          </w:tcPr>
          <w:p w14:paraId="269D0EE5"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Neutral</w:t>
            </w:r>
          </w:p>
        </w:tc>
        <w:tc>
          <w:tcPr>
            <w:cnfStyle w:val="000100000000" w:firstRow="0" w:lastRow="0" w:firstColumn="0" w:lastColumn="1" w:oddVBand="0" w:evenVBand="0" w:oddHBand="0" w:evenHBand="0" w:firstRowFirstColumn="0" w:firstRowLastColumn="0" w:lastRowFirstColumn="0" w:lastRowLastColumn="0"/>
            <w:tcW w:w="1061" w:type="dxa"/>
          </w:tcPr>
          <w:p w14:paraId="72513770"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10</w:t>
            </w:r>
          </w:p>
        </w:tc>
      </w:tr>
      <w:tr w:rsidR="00E33B67" w:rsidRPr="00EF0129" w14:paraId="3D84E483" w14:textId="77777777" w:rsidTr="00D9697C">
        <w:tc>
          <w:tcPr>
            <w:tcW w:w="675" w:type="dxa"/>
          </w:tcPr>
          <w:p w14:paraId="1E66924D" w14:textId="77777777" w:rsidR="00E33B67" w:rsidRPr="00EF0129" w:rsidRDefault="00E33B67" w:rsidP="00EF0129">
            <w:pPr>
              <w:pStyle w:val="NoSpacing"/>
              <w:rPr>
                <w:rFonts w:ascii="Book Antiqua" w:hAnsi="Book Antiqua"/>
                <w:sz w:val="20"/>
                <w:szCs w:val="20"/>
              </w:rPr>
            </w:pPr>
          </w:p>
        </w:tc>
        <w:tc>
          <w:tcPr>
            <w:tcW w:w="1504" w:type="dxa"/>
          </w:tcPr>
          <w:p w14:paraId="6007668B" w14:textId="77777777" w:rsidR="00E33B67" w:rsidRPr="00EF0129" w:rsidRDefault="00E33B67" w:rsidP="00EF0129">
            <w:pPr>
              <w:pStyle w:val="NoSpacing"/>
              <w:rPr>
                <w:rFonts w:ascii="Book Antiqua" w:hAnsi="Book Antiqua"/>
                <w:sz w:val="20"/>
                <w:szCs w:val="20"/>
              </w:rPr>
            </w:pPr>
          </w:p>
        </w:tc>
        <w:tc>
          <w:tcPr>
            <w:tcW w:w="1331" w:type="dxa"/>
          </w:tcPr>
          <w:p w14:paraId="16F5C2C8" w14:textId="77777777" w:rsidR="00E33B67" w:rsidRPr="00EF0129" w:rsidRDefault="00E33B67" w:rsidP="00EF0129">
            <w:pPr>
              <w:pStyle w:val="NoSpacing"/>
              <w:rPr>
                <w:rFonts w:ascii="Book Antiqua" w:hAnsi="Book Antiqua"/>
                <w:sz w:val="20"/>
                <w:szCs w:val="20"/>
              </w:rPr>
            </w:pPr>
          </w:p>
        </w:tc>
        <w:tc>
          <w:tcPr>
            <w:tcW w:w="2521" w:type="dxa"/>
          </w:tcPr>
          <w:p w14:paraId="6D3E35CA" w14:textId="77777777" w:rsidR="00E33B67" w:rsidRPr="00EF0129" w:rsidRDefault="00E33B67" w:rsidP="00EF0129">
            <w:pPr>
              <w:pStyle w:val="NoSpacing"/>
              <w:rPr>
                <w:rFonts w:ascii="Book Antiqua" w:hAnsi="Book Antiqua"/>
                <w:sz w:val="20"/>
                <w:szCs w:val="20"/>
              </w:rPr>
            </w:pPr>
          </w:p>
        </w:tc>
        <w:tc>
          <w:tcPr>
            <w:tcW w:w="1842" w:type="dxa"/>
          </w:tcPr>
          <w:p w14:paraId="06A27D00"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Disagree</w:t>
            </w:r>
          </w:p>
        </w:tc>
        <w:tc>
          <w:tcPr>
            <w:cnfStyle w:val="000100000000" w:firstRow="0" w:lastRow="0" w:firstColumn="0" w:lastColumn="1" w:oddVBand="0" w:evenVBand="0" w:oddHBand="0" w:evenHBand="0" w:firstRowFirstColumn="0" w:firstRowLastColumn="0" w:lastRowFirstColumn="0" w:lastRowLastColumn="0"/>
            <w:tcW w:w="1061" w:type="dxa"/>
          </w:tcPr>
          <w:p w14:paraId="22A20ACB"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5</w:t>
            </w:r>
          </w:p>
        </w:tc>
      </w:tr>
      <w:tr w:rsidR="00E33B67" w:rsidRPr="00EF0129" w14:paraId="34CBC4DD" w14:textId="77777777" w:rsidTr="00D9697C">
        <w:tc>
          <w:tcPr>
            <w:tcW w:w="675" w:type="dxa"/>
          </w:tcPr>
          <w:p w14:paraId="2E3F5C78" w14:textId="77777777" w:rsidR="00E33B67" w:rsidRPr="00EF0129" w:rsidRDefault="00E33B67" w:rsidP="00EF0129">
            <w:pPr>
              <w:pStyle w:val="NoSpacing"/>
              <w:rPr>
                <w:rFonts w:ascii="Book Antiqua" w:hAnsi="Book Antiqua"/>
                <w:sz w:val="20"/>
                <w:szCs w:val="20"/>
              </w:rPr>
            </w:pPr>
          </w:p>
        </w:tc>
        <w:tc>
          <w:tcPr>
            <w:tcW w:w="1504" w:type="dxa"/>
          </w:tcPr>
          <w:p w14:paraId="4FCB2A21" w14:textId="77777777" w:rsidR="00E33B67" w:rsidRPr="00EF0129" w:rsidRDefault="00E33B67" w:rsidP="00EF0129">
            <w:pPr>
              <w:pStyle w:val="NoSpacing"/>
              <w:rPr>
                <w:rFonts w:ascii="Book Antiqua" w:hAnsi="Book Antiqua"/>
                <w:sz w:val="20"/>
                <w:szCs w:val="20"/>
              </w:rPr>
            </w:pPr>
          </w:p>
        </w:tc>
        <w:tc>
          <w:tcPr>
            <w:tcW w:w="1331" w:type="dxa"/>
          </w:tcPr>
          <w:p w14:paraId="401C1937" w14:textId="77777777" w:rsidR="00E33B67" w:rsidRPr="00EF0129" w:rsidRDefault="00E33B67" w:rsidP="00EF0129">
            <w:pPr>
              <w:pStyle w:val="NoSpacing"/>
              <w:rPr>
                <w:rFonts w:ascii="Book Antiqua" w:hAnsi="Book Antiqua"/>
                <w:sz w:val="20"/>
                <w:szCs w:val="20"/>
              </w:rPr>
            </w:pPr>
          </w:p>
        </w:tc>
        <w:tc>
          <w:tcPr>
            <w:tcW w:w="2521" w:type="dxa"/>
          </w:tcPr>
          <w:p w14:paraId="11003C08" w14:textId="77777777" w:rsidR="00E33B67" w:rsidRPr="00EF0129" w:rsidRDefault="00E33B67" w:rsidP="00EF0129">
            <w:pPr>
              <w:pStyle w:val="NoSpacing"/>
              <w:rPr>
                <w:rFonts w:ascii="Book Antiqua" w:hAnsi="Book Antiqua"/>
                <w:sz w:val="20"/>
                <w:szCs w:val="20"/>
              </w:rPr>
            </w:pPr>
          </w:p>
        </w:tc>
        <w:tc>
          <w:tcPr>
            <w:tcW w:w="1842" w:type="dxa"/>
          </w:tcPr>
          <w:p w14:paraId="510BCBB5"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Strongly disagree</w:t>
            </w:r>
          </w:p>
        </w:tc>
        <w:tc>
          <w:tcPr>
            <w:cnfStyle w:val="000100000000" w:firstRow="0" w:lastRow="0" w:firstColumn="0" w:lastColumn="1" w:oddVBand="0" w:evenVBand="0" w:oddHBand="0" w:evenHBand="0" w:firstRowFirstColumn="0" w:firstRowLastColumn="0" w:lastRowFirstColumn="0" w:lastRowLastColumn="0"/>
            <w:tcW w:w="1061" w:type="dxa"/>
          </w:tcPr>
          <w:p w14:paraId="4C92BF90"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5</w:t>
            </w:r>
          </w:p>
        </w:tc>
      </w:tr>
      <w:tr w:rsidR="00E33B67" w:rsidRPr="00EF0129" w14:paraId="50A89737" w14:textId="77777777" w:rsidTr="00D9697C">
        <w:tc>
          <w:tcPr>
            <w:tcW w:w="675" w:type="dxa"/>
          </w:tcPr>
          <w:p w14:paraId="084C2C0E"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3</w:t>
            </w:r>
          </w:p>
        </w:tc>
        <w:tc>
          <w:tcPr>
            <w:tcW w:w="1504" w:type="dxa"/>
          </w:tcPr>
          <w:p w14:paraId="6D42B96C"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Media availability</w:t>
            </w:r>
          </w:p>
        </w:tc>
        <w:tc>
          <w:tcPr>
            <w:tcW w:w="1331" w:type="dxa"/>
          </w:tcPr>
          <w:p w14:paraId="33D0681C"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Facilities</w:t>
            </w:r>
          </w:p>
        </w:tc>
        <w:tc>
          <w:tcPr>
            <w:tcW w:w="2521" w:type="dxa"/>
          </w:tcPr>
          <w:p w14:paraId="5D36C805"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School facilities support varied media</w:t>
            </w:r>
          </w:p>
        </w:tc>
        <w:tc>
          <w:tcPr>
            <w:tcW w:w="1842" w:type="dxa"/>
          </w:tcPr>
          <w:p w14:paraId="19A45D75"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Strongly agree</w:t>
            </w:r>
          </w:p>
        </w:tc>
        <w:tc>
          <w:tcPr>
            <w:cnfStyle w:val="000100000000" w:firstRow="0" w:lastRow="0" w:firstColumn="0" w:lastColumn="1" w:oddVBand="0" w:evenVBand="0" w:oddHBand="0" w:evenHBand="0" w:firstRowFirstColumn="0" w:firstRowLastColumn="0" w:lastRowFirstColumn="0" w:lastRowLastColumn="0"/>
            <w:tcW w:w="1061" w:type="dxa"/>
          </w:tcPr>
          <w:p w14:paraId="51A20BB9"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65</w:t>
            </w:r>
          </w:p>
        </w:tc>
      </w:tr>
      <w:tr w:rsidR="00E33B67" w:rsidRPr="00EF0129" w14:paraId="13E0DA7A" w14:textId="77777777" w:rsidTr="00D9697C">
        <w:tc>
          <w:tcPr>
            <w:tcW w:w="675" w:type="dxa"/>
          </w:tcPr>
          <w:p w14:paraId="6EBDFF1B" w14:textId="77777777" w:rsidR="00E33B67" w:rsidRPr="00EF0129" w:rsidRDefault="00E33B67" w:rsidP="00EF0129">
            <w:pPr>
              <w:pStyle w:val="NoSpacing"/>
              <w:rPr>
                <w:rFonts w:ascii="Book Antiqua" w:hAnsi="Book Antiqua"/>
                <w:sz w:val="20"/>
                <w:szCs w:val="20"/>
              </w:rPr>
            </w:pPr>
          </w:p>
        </w:tc>
        <w:tc>
          <w:tcPr>
            <w:tcW w:w="1504" w:type="dxa"/>
          </w:tcPr>
          <w:p w14:paraId="09F09EC1" w14:textId="77777777" w:rsidR="00E33B67" w:rsidRPr="00EF0129" w:rsidRDefault="00E33B67" w:rsidP="00EF0129">
            <w:pPr>
              <w:pStyle w:val="NoSpacing"/>
              <w:rPr>
                <w:rFonts w:ascii="Book Antiqua" w:hAnsi="Book Antiqua"/>
                <w:sz w:val="20"/>
                <w:szCs w:val="20"/>
              </w:rPr>
            </w:pPr>
          </w:p>
        </w:tc>
        <w:tc>
          <w:tcPr>
            <w:tcW w:w="1331" w:type="dxa"/>
          </w:tcPr>
          <w:p w14:paraId="6F0713F9" w14:textId="77777777" w:rsidR="00E33B67" w:rsidRPr="00EF0129" w:rsidRDefault="00E33B67" w:rsidP="00EF0129">
            <w:pPr>
              <w:pStyle w:val="NoSpacing"/>
              <w:rPr>
                <w:rFonts w:ascii="Book Antiqua" w:hAnsi="Book Antiqua"/>
                <w:sz w:val="20"/>
                <w:szCs w:val="20"/>
              </w:rPr>
            </w:pPr>
          </w:p>
        </w:tc>
        <w:tc>
          <w:tcPr>
            <w:tcW w:w="2521" w:type="dxa"/>
          </w:tcPr>
          <w:p w14:paraId="7D962AB1" w14:textId="77777777" w:rsidR="00E33B67" w:rsidRPr="00EF0129" w:rsidRDefault="00E33B67" w:rsidP="00EF0129">
            <w:pPr>
              <w:pStyle w:val="NoSpacing"/>
              <w:rPr>
                <w:rFonts w:ascii="Book Antiqua" w:hAnsi="Book Antiqua"/>
                <w:sz w:val="20"/>
                <w:szCs w:val="20"/>
              </w:rPr>
            </w:pPr>
          </w:p>
        </w:tc>
        <w:tc>
          <w:tcPr>
            <w:tcW w:w="1842" w:type="dxa"/>
          </w:tcPr>
          <w:p w14:paraId="04F0D698"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Agree</w:t>
            </w:r>
          </w:p>
        </w:tc>
        <w:tc>
          <w:tcPr>
            <w:cnfStyle w:val="000100000000" w:firstRow="0" w:lastRow="0" w:firstColumn="0" w:lastColumn="1" w:oddVBand="0" w:evenVBand="0" w:oddHBand="0" w:evenHBand="0" w:firstRowFirstColumn="0" w:firstRowLastColumn="0" w:lastRowFirstColumn="0" w:lastRowLastColumn="0"/>
            <w:tcW w:w="1061" w:type="dxa"/>
          </w:tcPr>
          <w:p w14:paraId="2665364C"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45</w:t>
            </w:r>
          </w:p>
        </w:tc>
      </w:tr>
      <w:tr w:rsidR="00E33B67" w:rsidRPr="00EF0129" w14:paraId="105E967F" w14:textId="77777777" w:rsidTr="00D9697C">
        <w:tc>
          <w:tcPr>
            <w:tcW w:w="675" w:type="dxa"/>
          </w:tcPr>
          <w:p w14:paraId="342A3E22" w14:textId="77777777" w:rsidR="00E33B67" w:rsidRPr="00EF0129" w:rsidRDefault="00E33B67" w:rsidP="00EF0129">
            <w:pPr>
              <w:pStyle w:val="NoSpacing"/>
              <w:rPr>
                <w:rFonts w:ascii="Book Antiqua" w:hAnsi="Book Antiqua"/>
                <w:sz w:val="20"/>
                <w:szCs w:val="20"/>
              </w:rPr>
            </w:pPr>
          </w:p>
        </w:tc>
        <w:tc>
          <w:tcPr>
            <w:tcW w:w="1504" w:type="dxa"/>
          </w:tcPr>
          <w:p w14:paraId="539E6096" w14:textId="77777777" w:rsidR="00E33B67" w:rsidRPr="00EF0129" w:rsidRDefault="00E33B67" w:rsidP="00EF0129">
            <w:pPr>
              <w:pStyle w:val="NoSpacing"/>
              <w:rPr>
                <w:rFonts w:ascii="Book Antiqua" w:hAnsi="Book Antiqua"/>
                <w:sz w:val="20"/>
                <w:szCs w:val="20"/>
              </w:rPr>
            </w:pPr>
          </w:p>
        </w:tc>
        <w:tc>
          <w:tcPr>
            <w:tcW w:w="1331" w:type="dxa"/>
          </w:tcPr>
          <w:p w14:paraId="7DEC4A35" w14:textId="77777777" w:rsidR="00E33B67" w:rsidRPr="00EF0129" w:rsidRDefault="00E33B67" w:rsidP="00EF0129">
            <w:pPr>
              <w:pStyle w:val="NoSpacing"/>
              <w:rPr>
                <w:rFonts w:ascii="Book Antiqua" w:hAnsi="Book Antiqua"/>
                <w:sz w:val="20"/>
                <w:szCs w:val="20"/>
              </w:rPr>
            </w:pPr>
          </w:p>
        </w:tc>
        <w:tc>
          <w:tcPr>
            <w:tcW w:w="2521" w:type="dxa"/>
          </w:tcPr>
          <w:p w14:paraId="6CE7CCC9" w14:textId="77777777" w:rsidR="00E33B67" w:rsidRPr="00EF0129" w:rsidRDefault="00E33B67" w:rsidP="00EF0129">
            <w:pPr>
              <w:pStyle w:val="NoSpacing"/>
              <w:rPr>
                <w:rFonts w:ascii="Book Antiqua" w:hAnsi="Book Antiqua"/>
                <w:sz w:val="20"/>
                <w:szCs w:val="20"/>
              </w:rPr>
            </w:pPr>
          </w:p>
        </w:tc>
        <w:tc>
          <w:tcPr>
            <w:tcW w:w="1842" w:type="dxa"/>
          </w:tcPr>
          <w:p w14:paraId="13A82CD7"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Neutral</w:t>
            </w:r>
          </w:p>
        </w:tc>
        <w:tc>
          <w:tcPr>
            <w:cnfStyle w:val="000100000000" w:firstRow="0" w:lastRow="0" w:firstColumn="0" w:lastColumn="1" w:oddVBand="0" w:evenVBand="0" w:oddHBand="0" w:evenHBand="0" w:firstRowFirstColumn="0" w:firstRowLastColumn="0" w:lastRowFirstColumn="0" w:lastRowLastColumn="0"/>
            <w:tcW w:w="1061" w:type="dxa"/>
          </w:tcPr>
          <w:p w14:paraId="35CCE449"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5</w:t>
            </w:r>
          </w:p>
        </w:tc>
      </w:tr>
      <w:tr w:rsidR="00E33B67" w:rsidRPr="00EF0129" w14:paraId="052681E7" w14:textId="77777777" w:rsidTr="00D9697C">
        <w:tc>
          <w:tcPr>
            <w:tcW w:w="675" w:type="dxa"/>
          </w:tcPr>
          <w:p w14:paraId="17C02EAD" w14:textId="77777777" w:rsidR="00E33B67" w:rsidRPr="00EF0129" w:rsidRDefault="00E33B67" w:rsidP="00EF0129">
            <w:pPr>
              <w:pStyle w:val="NoSpacing"/>
              <w:rPr>
                <w:rFonts w:ascii="Book Antiqua" w:hAnsi="Book Antiqua"/>
                <w:sz w:val="20"/>
                <w:szCs w:val="20"/>
              </w:rPr>
            </w:pPr>
          </w:p>
        </w:tc>
        <w:tc>
          <w:tcPr>
            <w:tcW w:w="1504" w:type="dxa"/>
          </w:tcPr>
          <w:p w14:paraId="42CB6097" w14:textId="77777777" w:rsidR="00E33B67" w:rsidRPr="00EF0129" w:rsidRDefault="00E33B67" w:rsidP="00EF0129">
            <w:pPr>
              <w:pStyle w:val="NoSpacing"/>
              <w:rPr>
                <w:rFonts w:ascii="Book Antiqua" w:hAnsi="Book Antiqua"/>
                <w:sz w:val="20"/>
                <w:szCs w:val="20"/>
              </w:rPr>
            </w:pPr>
          </w:p>
        </w:tc>
        <w:tc>
          <w:tcPr>
            <w:tcW w:w="1331" w:type="dxa"/>
          </w:tcPr>
          <w:p w14:paraId="0F454E1C" w14:textId="77777777" w:rsidR="00E33B67" w:rsidRPr="00EF0129" w:rsidRDefault="00E33B67" w:rsidP="00EF0129">
            <w:pPr>
              <w:pStyle w:val="NoSpacing"/>
              <w:rPr>
                <w:rFonts w:ascii="Book Antiqua" w:hAnsi="Book Antiqua"/>
                <w:sz w:val="20"/>
                <w:szCs w:val="20"/>
              </w:rPr>
            </w:pPr>
          </w:p>
        </w:tc>
        <w:tc>
          <w:tcPr>
            <w:tcW w:w="2521" w:type="dxa"/>
          </w:tcPr>
          <w:p w14:paraId="70D2460F" w14:textId="77777777" w:rsidR="00E33B67" w:rsidRPr="00EF0129" w:rsidRDefault="00E33B67" w:rsidP="00EF0129">
            <w:pPr>
              <w:pStyle w:val="NoSpacing"/>
              <w:rPr>
                <w:rFonts w:ascii="Book Antiqua" w:hAnsi="Book Antiqua"/>
                <w:sz w:val="20"/>
                <w:szCs w:val="20"/>
              </w:rPr>
            </w:pPr>
          </w:p>
        </w:tc>
        <w:tc>
          <w:tcPr>
            <w:tcW w:w="1842" w:type="dxa"/>
          </w:tcPr>
          <w:p w14:paraId="4DD6AF00"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Disagree</w:t>
            </w:r>
          </w:p>
        </w:tc>
        <w:tc>
          <w:tcPr>
            <w:cnfStyle w:val="000100000000" w:firstRow="0" w:lastRow="0" w:firstColumn="0" w:lastColumn="1" w:oddVBand="0" w:evenVBand="0" w:oddHBand="0" w:evenHBand="0" w:firstRowFirstColumn="0" w:firstRowLastColumn="0" w:lastRowFirstColumn="0" w:lastRowLastColumn="0"/>
            <w:tcW w:w="1061" w:type="dxa"/>
          </w:tcPr>
          <w:p w14:paraId="40046F16"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10</w:t>
            </w:r>
          </w:p>
        </w:tc>
      </w:tr>
      <w:tr w:rsidR="00E33B67" w:rsidRPr="00EF0129" w14:paraId="274D6D72" w14:textId="77777777" w:rsidTr="00D9697C">
        <w:tc>
          <w:tcPr>
            <w:tcW w:w="675" w:type="dxa"/>
          </w:tcPr>
          <w:p w14:paraId="31522567" w14:textId="77777777" w:rsidR="00E33B67" w:rsidRPr="00EF0129" w:rsidRDefault="00E33B67" w:rsidP="00EF0129">
            <w:pPr>
              <w:pStyle w:val="NoSpacing"/>
              <w:rPr>
                <w:rFonts w:ascii="Book Antiqua" w:hAnsi="Book Antiqua"/>
                <w:sz w:val="20"/>
                <w:szCs w:val="20"/>
              </w:rPr>
            </w:pPr>
          </w:p>
        </w:tc>
        <w:tc>
          <w:tcPr>
            <w:tcW w:w="1504" w:type="dxa"/>
          </w:tcPr>
          <w:p w14:paraId="3771B9E2" w14:textId="77777777" w:rsidR="00E33B67" w:rsidRPr="00EF0129" w:rsidRDefault="00E33B67" w:rsidP="00EF0129">
            <w:pPr>
              <w:pStyle w:val="NoSpacing"/>
              <w:rPr>
                <w:rFonts w:ascii="Book Antiqua" w:hAnsi="Book Antiqua"/>
                <w:sz w:val="20"/>
                <w:szCs w:val="20"/>
              </w:rPr>
            </w:pPr>
          </w:p>
        </w:tc>
        <w:tc>
          <w:tcPr>
            <w:tcW w:w="1331" w:type="dxa"/>
          </w:tcPr>
          <w:p w14:paraId="20F4E84C" w14:textId="77777777" w:rsidR="00E33B67" w:rsidRPr="00EF0129" w:rsidRDefault="00E33B67" w:rsidP="00EF0129">
            <w:pPr>
              <w:pStyle w:val="NoSpacing"/>
              <w:rPr>
                <w:rFonts w:ascii="Book Antiqua" w:hAnsi="Book Antiqua"/>
                <w:sz w:val="20"/>
                <w:szCs w:val="20"/>
              </w:rPr>
            </w:pPr>
          </w:p>
        </w:tc>
        <w:tc>
          <w:tcPr>
            <w:tcW w:w="2521" w:type="dxa"/>
          </w:tcPr>
          <w:p w14:paraId="6E80733D" w14:textId="77777777" w:rsidR="00E33B67" w:rsidRPr="00EF0129" w:rsidRDefault="00E33B67" w:rsidP="00EF0129">
            <w:pPr>
              <w:pStyle w:val="NoSpacing"/>
              <w:rPr>
                <w:rFonts w:ascii="Book Antiqua" w:hAnsi="Book Antiqua"/>
                <w:sz w:val="20"/>
                <w:szCs w:val="20"/>
              </w:rPr>
            </w:pPr>
          </w:p>
        </w:tc>
        <w:tc>
          <w:tcPr>
            <w:tcW w:w="1842" w:type="dxa"/>
          </w:tcPr>
          <w:p w14:paraId="50D1DDE0"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Strongly disagree</w:t>
            </w:r>
          </w:p>
        </w:tc>
        <w:tc>
          <w:tcPr>
            <w:cnfStyle w:val="000100000000" w:firstRow="0" w:lastRow="0" w:firstColumn="0" w:lastColumn="1" w:oddVBand="0" w:evenVBand="0" w:oddHBand="0" w:evenHBand="0" w:firstRowFirstColumn="0" w:firstRowLastColumn="0" w:lastRowFirstColumn="0" w:lastRowLastColumn="0"/>
            <w:tcW w:w="1061" w:type="dxa"/>
          </w:tcPr>
          <w:p w14:paraId="1E39B7D0"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5</w:t>
            </w:r>
          </w:p>
        </w:tc>
      </w:tr>
      <w:tr w:rsidR="00E33B67" w:rsidRPr="00EF0129" w14:paraId="01ED9950" w14:textId="77777777" w:rsidTr="00D9697C">
        <w:tc>
          <w:tcPr>
            <w:tcW w:w="675" w:type="dxa"/>
          </w:tcPr>
          <w:p w14:paraId="606C81CF"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4</w:t>
            </w:r>
          </w:p>
        </w:tc>
        <w:tc>
          <w:tcPr>
            <w:tcW w:w="1504" w:type="dxa"/>
          </w:tcPr>
          <w:p w14:paraId="3DBCC268"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Learning motivation</w:t>
            </w:r>
          </w:p>
        </w:tc>
        <w:tc>
          <w:tcPr>
            <w:tcW w:w="1331" w:type="dxa"/>
          </w:tcPr>
          <w:p w14:paraId="0D7AF251"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Interest</w:t>
            </w:r>
          </w:p>
        </w:tc>
        <w:tc>
          <w:tcPr>
            <w:tcW w:w="2521" w:type="dxa"/>
          </w:tcPr>
          <w:p w14:paraId="40AEBB6F"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Engaging media can increase motivation</w:t>
            </w:r>
          </w:p>
        </w:tc>
        <w:tc>
          <w:tcPr>
            <w:tcW w:w="1842" w:type="dxa"/>
          </w:tcPr>
          <w:p w14:paraId="0A595909"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Strongly agree</w:t>
            </w:r>
          </w:p>
        </w:tc>
        <w:tc>
          <w:tcPr>
            <w:cnfStyle w:val="000100000000" w:firstRow="0" w:lastRow="0" w:firstColumn="0" w:lastColumn="1" w:oddVBand="0" w:evenVBand="0" w:oddHBand="0" w:evenHBand="0" w:firstRowFirstColumn="0" w:firstRowLastColumn="0" w:lastRowFirstColumn="0" w:lastRowLastColumn="0"/>
            <w:tcW w:w="1061" w:type="dxa"/>
          </w:tcPr>
          <w:p w14:paraId="20B95B3B"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80</w:t>
            </w:r>
          </w:p>
        </w:tc>
      </w:tr>
      <w:tr w:rsidR="00E33B67" w:rsidRPr="00EF0129" w14:paraId="34D1936B" w14:textId="77777777" w:rsidTr="00D9697C">
        <w:tc>
          <w:tcPr>
            <w:tcW w:w="675" w:type="dxa"/>
          </w:tcPr>
          <w:p w14:paraId="131F525B" w14:textId="77777777" w:rsidR="00E33B67" w:rsidRPr="00EF0129" w:rsidRDefault="00E33B67" w:rsidP="00EF0129">
            <w:pPr>
              <w:pStyle w:val="NoSpacing"/>
              <w:rPr>
                <w:rFonts w:ascii="Book Antiqua" w:hAnsi="Book Antiqua"/>
                <w:sz w:val="20"/>
                <w:szCs w:val="20"/>
              </w:rPr>
            </w:pPr>
          </w:p>
        </w:tc>
        <w:tc>
          <w:tcPr>
            <w:tcW w:w="1504" w:type="dxa"/>
          </w:tcPr>
          <w:p w14:paraId="33A71AB1" w14:textId="77777777" w:rsidR="00E33B67" w:rsidRPr="00EF0129" w:rsidRDefault="00E33B67" w:rsidP="00EF0129">
            <w:pPr>
              <w:pStyle w:val="NoSpacing"/>
              <w:rPr>
                <w:rFonts w:ascii="Book Antiqua" w:hAnsi="Book Antiqua"/>
                <w:sz w:val="20"/>
                <w:szCs w:val="20"/>
              </w:rPr>
            </w:pPr>
          </w:p>
        </w:tc>
        <w:tc>
          <w:tcPr>
            <w:tcW w:w="1331" w:type="dxa"/>
          </w:tcPr>
          <w:p w14:paraId="2CB7DA89" w14:textId="77777777" w:rsidR="00E33B67" w:rsidRPr="00EF0129" w:rsidRDefault="00E33B67" w:rsidP="00EF0129">
            <w:pPr>
              <w:pStyle w:val="NoSpacing"/>
              <w:rPr>
                <w:rFonts w:ascii="Book Antiqua" w:hAnsi="Book Antiqua"/>
                <w:sz w:val="20"/>
                <w:szCs w:val="20"/>
              </w:rPr>
            </w:pPr>
          </w:p>
        </w:tc>
        <w:tc>
          <w:tcPr>
            <w:tcW w:w="2521" w:type="dxa"/>
          </w:tcPr>
          <w:p w14:paraId="24477244" w14:textId="77777777" w:rsidR="00E33B67" w:rsidRPr="00EF0129" w:rsidRDefault="00E33B67" w:rsidP="00EF0129">
            <w:pPr>
              <w:pStyle w:val="NoSpacing"/>
              <w:rPr>
                <w:rFonts w:ascii="Book Antiqua" w:hAnsi="Book Antiqua"/>
                <w:sz w:val="20"/>
                <w:szCs w:val="20"/>
              </w:rPr>
            </w:pPr>
          </w:p>
        </w:tc>
        <w:tc>
          <w:tcPr>
            <w:tcW w:w="1842" w:type="dxa"/>
          </w:tcPr>
          <w:p w14:paraId="63F772E4"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Agree</w:t>
            </w:r>
          </w:p>
        </w:tc>
        <w:tc>
          <w:tcPr>
            <w:cnfStyle w:val="000100000000" w:firstRow="0" w:lastRow="0" w:firstColumn="0" w:lastColumn="1" w:oddVBand="0" w:evenVBand="0" w:oddHBand="0" w:evenHBand="0" w:firstRowFirstColumn="0" w:firstRowLastColumn="0" w:lastRowFirstColumn="0" w:lastRowLastColumn="0"/>
            <w:tcW w:w="1061" w:type="dxa"/>
          </w:tcPr>
          <w:p w14:paraId="26FF8D04"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30</w:t>
            </w:r>
          </w:p>
        </w:tc>
      </w:tr>
      <w:tr w:rsidR="00E33B67" w:rsidRPr="00EF0129" w14:paraId="21C09C21" w14:textId="77777777" w:rsidTr="00D9697C">
        <w:tc>
          <w:tcPr>
            <w:tcW w:w="675" w:type="dxa"/>
          </w:tcPr>
          <w:p w14:paraId="671135DA" w14:textId="77777777" w:rsidR="00E33B67" w:rsidRPr="00EF0129" w:rsidRDefault="00E33B67" w:rsidP="00EF0129">
            <w:pPr>
              <w:pStyle w:val="NoSpacing"/>
              <w:rPr>
                <w:rFonts w:ascii="Book Antiqua" w:hAnsi="Book Antiqua"/>
                <w:sz w:val="20"/>
                <w:szCs w:val="20"/>
              </w:rPr>
            </w:pPr>
          </w:p>
        </w:tc>
        <w:tc>
          <w:tcPr>
            <w:tcW w:w="1504" w:type="dxa"/>
          </w:tcPr>
          <w:p w14:paraId="1A4BDF10" w14:textId="77777777" w:rsidR="00E33B67" w:rsidRPr="00EF0129" w:rsidRDefault="00E33B67" w:rsidP="00EF0129">
            <w:pPr>
              <w:pStyle w:val="NoSpacing"/>
              <w:rPr>
                <w:rFonts w:ascii="Book Antiqua" w:hAnsi="Book Antiqua"/>
                <w:sz w:val="20"/>
                <w:szCs w:val="20"/>
              </w:rPr>
            </w:pPr>
          </w:p>
        </w:tc>
        <w:tc>
          <w:tcPr>
            <w:tcW w:w="1331" w:type="dxa"/>
          </w:tcPr>
          <w:p w14:paraId="6BB92DBF" w14:textId="77777777" w:rsidR="00E33B67" w:rsidRPr="00EF0129" w:rsidRDefault="00E33B67" w:rsidP="00EF0129">
            <w:pPr>
              <w:pStyle w:val="NoSpacing"/>
              <w:rPr>
                <w:rFonts w:ascii="Book Antiqua" w:hAnsi="Book Antiqua"/>
                <w:sz w:val="20"/>
                <w:szCs w:val="20"/>
              </w:rPr>
            </w:pPr>
          </w:p>
        </w:tc>
        <w:tc>
          <w:tcPr>
            <w:tcW w:w="2521" w:type="dxa"/>
          </w:tcPr>
          <w:p w14:paraId="3A1CD66C" w14:textId="77777777" w:rsidR="00E33B67" w:rsidRPr="00EF0129" w:rsidRDefault="00E33B67" w:rsidP="00EF0129">
            <w:pPr>
              <w:pStyle w:val="NoSpacing"/>
              <w:rPr>
                <w:rFonts w:ascii="Book Antiqua" w:hAnsi="Book Antiqua"/>
                <w:sz w:val="20"/>
                <w:szCs w:val="20"/>
              </w:rPr>
            </w:pPr>
          </w:p>
        </w:tc>
        <w:tc>
          <w:tcPr>
            <w:tcW w:w="1842" w:type="dxa"/>
          </w:tcPr>
          <w:p w14:paraId="7F5AC592"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Neutral</w:t>
            </w:r>
          </w:p>
        </w:tc>
        <w:tc>
          <w:tcPr>
            <w:cnfStyle w:val="000100000000" w:firstRow="0" w:lastRow="0" w:firstColumn="0" w:lastColumn="1" w:oddVBand="0" w:evenVBand="0" w:oddHBand="0" w:evenHBand="0" w:firstRowFirstColumn="0" w:firstRowLastColumn="0" w:lastRowFirstColumn="0" w:lastRowLastColumn="0"/>
            <w:tcW w:w="1061" w:type="dxa"/>
          </w:tcPr>
          <w:p w14:paraId="585A7829"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10</w:t>
            </w:r>
          </w:p>
        </w:tc>
      </w:tr>
      <w:tr w:rsidR="00E33B67" w:rsidRPr="00EF0129" w14:paraId="2A4A08A9" w14:textId="77777777" w:rsidTr="00D9697C">
        <w:tc>
          <w:tcPr>
            <w:tcW w:w="675" w:type="dxa"/>
          </w:tcPr>
          <w:p w14:paraId="753272A8" w14:textId="77777777" w:rsidR="00E33B67" w:rsidRPr="00EF0129" w:rsidRDefault="00E33B67" w:rsidP="00EF0129">
            <w:pPr>
              <w:pStyle w:val="NoSpacing"/>
              <w:rPr>
                <w:rFonts w:ascii="Book Antiqua" w:hAnsi="Book Antiqua"/>
                <w:sz w:val="20"/>
                <w:szCs w:val="20"/>
              </w:rPr>
            </w:pPr>
          </w:p>
        </w:tc>
        <w:tc>
          <w:tcPr>
            <w:tcW w:w="1504" w:type="dxa"/>
          </w:tcPr>
          <w:p w14:paraId="2B657A9D" w14:textId="77777777" w:rsidR="00E33B67" w:rsidRPr="00EF0129" w:rsidRDefault="00E33B67" w:rsidP="00EF0129">
            <w:pPr>
              <w:pStyle w:val="NoSpacing"/>
              <w:rPr>
                <w:rFonts w:ascii="Book Antiqua" w:hAnsi="Book Antiqua"/>
                <w:sz w:val="20"/>
                <w:szCs w:val="20"/>
              </w:rPr>
            </w:pPr>
          </w:p>
        </w:tc>
        <w:tc>
          <w:tcPr>
            <w:tcW w:w="1331" w:type="dxa"/>
          </w:tcPr>
          <w:p w14:paraId="6F1D9BF2" w14:textId="77777777" w:rsidR="00E33B67" w:rsidRPr="00EF0129" w:rsidRDefault="00E33B67" w:rsidP="00EF0129">
            <w:pPr>
              <w:pStyle w:val="NoSpacing"/>
              <w:rPr>
                <w:rFonts w:ascii="Book Antiqua" w:hAnsi="Book Antiqua"/>
                <w:sz w:val="20"/>
                <w:szCs w:val="20"/>
              </w:rPr>
            </w:pPr>
          </w:p>
        </w:tc>
        <w:tc>
          <w:tcPr>
            <w:tcW w:w="2521" w:type="dxa"/>
          </w:tcPr>
          <w:p w14:paraId="5DF4749E" w14:textId="77777777" w:rsidR="00E33B67" w:rsidRPr="00EF0129" w:rsidRDefault="00E33B67" w:rsidP="00EF0129">
            <w:pPr>
              <w:pStyle w:val="NoSpacing"/>
              <w:rPr>
                <w:rFonts w:ascii="Book Antiqua" w:hAnsi="Book Antiqua"/>
                <w:sz w:val="20"/>
                <w:szCs w:val="20"/>
              </w:rPr>
            </w:pPr>
          </w:p>
        </w:tc>
        <w:tc>
          <w:tcPr>
            <w:tcW w:w="1842" w:type="dxa"/>
          </w:tcPr>
          <w:p w14:paraId="062ACC36"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Disagree</w:t>
            </w:r>
          </w:p>
        </w:tc>
        <w:tc>
          <w:tcPr>
            <w:cnfStyle w:val="000100000000" w:firstRow="0" w:lastRow="0" w:firstColumn="0" w:lastColumn="1" w:oddVBand="0" w:evenVBand="0" w:oddHBand="0" w:evenHBand="0" w:firstRowFirstColumn="0" w:firstRowLastColumn="0" w:lastRowFirstColumn="0" w:lastRowLastColumn="0"/>
            <w:tcW w:w="1061" w:type="dxa"/>
          </w:tcPr>
          <w:p w14:paraId="32E8DBEE"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5</w:t>
            </w:r>
          </w:p>
        </w:tc>
      </w:tr>
      <w:tr w:rsidR="00E33B67" w:rsidRPr="00EF0129" w14:paraId="10B3C237" w14:textId="77777777" w:rsidTr="00D9697C">
        <w:tc>
          <w:tcPr>
            <w:tcW w:w="675" w:type="dxa"/>
          </w:tcPr>
          <w:p w14:paraId="753B1501" w14:textId="77777777" w:rsidR="00E33B67" w:rsidRPr="00EF0129" w:rsidRDefault="00E33B67" w:rsidP="00EF0129">
            <w:pPr>
              <w:pStyle w:val="NoSpacing"/>
              <w:rPr>
                <w:rFonts w:ascii="Book Antiqua" w:hAnsi="Book Antiqua"/>
                <w:sz w:val="20"/>
                <w:szCs w:val="20"/>
              </w:rPr>
            </w:pPr>
          </w:p>
        </w:tc>
        <w:tc>
          <w:tcPr>
            <w:tcW w:w="1504" w:type="dxa"/>
          </w:tcPr>
          <w:p w14:paraId="76A1D0DB" w14:textId="77777777" w:rsidR="00E33B67" w:rsidRPr="00EF0129" w:rsidRDefault="00E33B67" w:rsidP="00EF0129">
            <w:pPr>
              <w:pStyle w:val="NoSpacing"/>
              <w:rPr>
                <w:rFonts w:ascii="Book Antiqua" w:hAnsi="Book Antiqua"/>
                <w:sz w:val="20"/>
                <w:szCs w:val="20"/>
              </w:rPr>
            </w:pPr>
          </w:p>
        </w:tc>
        <w:tc>
          <w:tcPr>
            <w:tcW w:w="1331" w:type="dxa"/>
          </w:tcPr>
          <w:p w14:paraId="38D64763" w14:textId="77777777" w:rsidR="00E33B67" w:rsidRPr="00EF0129" w:rsidRDefault="00E33B67" w:rsidP="00EF0129">
            <w:pPr>
              <w:pStyle w:val="NoSpacing"/>
              <w:rPr>
                <w:rFonts w:ascii="Book Antiqua" w:hAnsi="Book Antiqua"/>
                <w:sz w:val="20"/>
                <w:szCs w:val="20"/>
              </w:rPr>
            </w:pPr>
          </w:p>
        </w:tc>
        <w:tc>
          <w:tcPr>
            <w:tcW w:w="2521" w:type="dxa"/>
          </w:tcPr>
          <w:p w14:paraId="0F7D751D" w14:textId="77777777" w:rsidR="00E33B67" w:rsidRPr="00EF0129" w:rsidRDefault="00E33B67" w:rsidP="00EF0129">
            <w:pPr>
              <w:pStyle w:val="NoSpacing"/>
              <w:rPr>
                <w:rFonts w:ascii="Book Antiqua" w:hAnsi="Book Antiqua"/>
                <w:sz w:val="20"/>
                <w:szCs w:val="20"/>
              </w:rPr>
            </w:pPr>
          </w:p>
        </w:tc>
        <w:tc>
          <w:tcPr>
            <w:tcW w:w="1842" w:type="dxa"/>
          </w:tcPr>
          <w:p w14:paraId="5B028C56" w14:textId="77777777" w:rsidR="00E33B67" w:rsidRPr="00EF0129" w:rsidRDefault="00E33B67" w:rsidP="00EF0129">
            <w:pPr>
              <w:pStyle w:val="NoSpacing"/>
              <w:rPr>
                <w:rFonts w:ascii="Book Antiqua" w:hAnsi="Book Antiqua"/>
                <w:sz w:val="20"/>
                <w:szCs w:val="20"/>
              </w:rPr>
            </w:pPr>
            <w:r w:rsidRPr="00EF0129">
              <w:rPr>
                <w:rFonts w:ascii="Book Antiqua" w:hAnsi="Book Antiqua"/>
                <w:sz w:val="20"/>
                <w:szCs w:val="20"/>
              </w:rPr>
              <w:t>Strongly disagree</w:t>
            </w:r>
          </w:p>
        </w:tc>
        <w:tc>
          <w:tcPr>
            <w:cnfStyle w:val="000100000000" w:firstRow="0" w:lastRow="0" w:firstColumn="0" w:lastColumn="1" w:oddVBand="0" w:evenVBand="0" w:oddHBand="0" w:evenHBand="0" w:firstRowFirstColumn="0" w:firstRowLastColumn="0" w:lastRowFirstColumn="0" w:lastRowLastColumn="0"/>
            <w:tcW w:w="1061" w:type="dxa"/>
          </w:tcPr>
          <w:p w14:paraId="0BCE9EEE" w14:textId="77777777" w:rsidR="00E33B67" w:rsidRPr="00EF0129" w:rsidRDefault="00E33B67" w:rsidP="00EF0129">
            <w:pPr>
              <w:pStyle w:val="NoSpacing"/>
              <w:rPr>
                <w:rFonts w:ascii="Book Antiqua" w:hAnsi="Book Antiqua"/>
                <w:b w:val="0"/>
                <w:bCs w:val="0"/>
                <w:sz w:val="20"/>
                <w:szCs w:val="20"/>
              </w:rPr>
            </w:pPr>
            <w:r w:rsidRPr="00EF0129">
              <w:rPr>
                <w:rFonts w:ascii="Book Antiqua" w:hAnsi="Book Antiqua"/>
                <w:b w:val="0"/>
                <w:bCs w:val="0"/>
                <w:sz w:val="20"/>
                <w:szCs w:val="20"/>
              </w:rPr>
              <w:t>5</w:t>
            </w:r>
          </w:p>
        </w:tc>
      </w:tr>
    </w:tbl>
    <w:p w14:paraId="5B2E82D5" w14:textId="77777777" w:rsidR="00E33B67" w:rsidRPr="00EF0129" w:rsidRDefault="00E33B67" w:rsidP="00EF0129">
      <w:pPr>
        <w:pStyle w:val="NoSpacing"/>
        <w:jc w:val="both"/>
        <w:rPr>
          <w:rFonts w:ascii="Book Antiqua" w:hAnsi="Book Antiqua"/>
          <w:sz w:val="24"/>
          <w:szCs w:val="24"/>
        </w:rPr>
      </w:pPr>
    </w:p>
    <w:p w14:paraId="394CCF23" w14:textId="302D0B7A" w:rsidR="00E968D3" w:rsidRDefault="00E33B67" w:rsidP="00EF0129">
      <w:pPr>
        <w:pStyle w:val="NoSpacing"/>
        <w:jc w:val="both"/>
        <w:rPr>
          <w:rFonts w:ascii="Book Antiqua" w:hAnsi="Book Antiqua"/>
          <w:b/>
          <w:sz w:val="24"/>
          <w:szCs w:val="24"/>
        </w:rPr>
      </w:pPr>
      <w:r w:rsidRPr="00EF0129">
        <w:rPr>
          <w:rFonts w:ascii="Book Antiqua" w:hAnsi="Book Antiqua"/>
          <w:sz w:val="24"/>
          <w:szCs w:val="24"/>
        </w:rPr>
        <w:t>The largest reported scores in Table 3 occurred in the strongly agree and agree categories. Students indicated a preference for interactive, enjoyable, and experience-based media, and the school was considered capable of supporting varied media. These findings guided the selection of a physical game that could be conducted with simple equipment in a classroom or open school area</w:t>
      </w:r>
      <w:r w:rsidR="004C1BD6">
        <w:rPr>
          <w:rFonts w:ascii="Book Antiqua" w:hAnsi="Book Antiqua"/>
          <w:sz w:val="24"/>
          <w:szCs w:val="24"/>
        </w:rPr>
        <w:t xml:space="preserve"> </w:t>
      </w:r>
      <w:r w:rsidR="004C1BD6">
        <w:rPr>
          <w:rFonts w:ascii="Book Antiqua" w:hAnsi="Book Antiqua"/>
          <w:sz w:val="24"/>
          <w:szCs w:val="24"/>
        </w:rPr>
        <w:fldChar w:fldCharType="begin" w:fldLock="1"/>
      </w:r>
      <w:r w:rsidR="004C1BD6">
        <w:rPr>
          <w:rFonts w:ascii="Book Antiqua" w:hAnsi="Book Antiqua"/>
          <w:sz w:val="24"/>
          <w:szCs w:val="24"/>
        </w:rPr>
        <w:instrText>ADDIN CSL_CITATION {"citationItems":[{"id":"ITEM-1","itemData":{"DOI":"10.1007/s10984-022-09411-3","ISSN":"15731855","abstract":"As a result of educational reforms in many countries, including Finland, new or renovated comprehensive schools have increasingly begun to incorporate open and flexible designs and principles. Multipurpose and adaptable open learning spaces can provide children with amplified opportunities to be physically active during general education. Classroom-based physical activity has been associated with better academic-related outcomes and students’ on-task behaviour, while overall physical activity has been associated with better health. In the present study, we investigated the effects of classroom type, gender and grade level on classroom-based physical activity, and the associations between systematically-observed teachers’ instructions about students’ movement and classroom-based physical activity. The participants consisted of 182 3rd and 5th grade students in one school with open learning space and two schools with conventional classrooms. Overall, classroom-based physical activity, assessed with accelerometery, was not higher in open learning space than in conventional classrooms. However, 5th grade students had more sedentary time and less moderate-to-vigorous physical activity in open learning spaces than conventional classrooms, but both 3rd and 5th graders had more breaks from sedentary time in open learning spaces than conventional classrooms. Girls were more sedentary than boys, while 5th graders were less physically active than 3rd graders. Teachers’ instructions regarding 5th graders’ movement in open learning spaces were more restrictive and both 3rd and 5th graders had more instructed transitions in open learning spaces. In conventional classrooms, students had more teacher-organised physical activity. Teachers’ restrictive guidance was associated with less light physical activity, while teachers’ organised physical activity was associated with more moderate-to-vigorous physical activity.","author":[{"dropping-particle":"","family":"Hartikainen","given":"Jani","non-dropping-particle":"","parse-names":false,"suffix":""},{"dropping-particle":"","family":"Haapala","given":"Eero A.","non-dropping-particle":"","parse-names":false,"suffix":""},{"dropping-particle":"","family":"Poikkeus","given":"Anna Maija","non-dropping-particle":"","parse-names":false,"suffix":""},{"dropping-particle":"","family":"Sääkslahti","given":"Arja","non-dropping-particle":"","parse-names":false,"suffix":""},{"dropping-particle":"","family":"Laukkanen","given":"Arto","non-dropping-particle":"","parse-names":false,"suffix":""},{"dropping-particle":"","family":"Gao","given":"Ying","non-dropping-particle":"","parse-names":false,"suffix":""},{"dropping-particle":"","family":"Finni","given":"Taija","non-dropping-particle":"","parse-names":false,"suffix":""}],"container-title":"Learning Environments Research","id":"ITEM-1","issue":"1","issued":{"date-parts":[["2023"]]},"page":"177-198","title":"Classroom-based physical activity and teachers’ instructions on students’ movement in conventional classrooms and open learning spaces","type":"article-journal","volume":"26"},"uris":["http://www.mendeley.com/documents/?uuid=633328c5-e0af-448b-ab10-1b280bea8b8a"]}],"mendeley":{"formattedCitation":"(Hartikainen et al., 2023)","plainTextFormattedCitation":"(Hartikainen et al., 2023)","previouslyFormattedCitation":"(Hartikainen et al., 2023)"},"properties":{"noteIndex":0},"schema":"https://github.com/citation-style-language/schema/raw/master/csl-citation.json"}</w:instrText>
      </w:r>
      <w:r w:rsidR="004C1BD6">
        <w:rPr>
          <w:rFonts w:ascii="Book Antiqua" w:hAnsi="Book Antiqua"/>
          <w:sz w:val="24"/>
          <w:szCs w:val="24"/>
        </w:rPr>
        <w:fldChar w:fldCharType="separate"/>
      </w:r>
      <w:r w:rsidR="004C1BD6" w:rsidRPr="004C1BD6">
        <w:rPr>
          <w:rFonts w:ascii="Book Antiqua" w:hAnsi="Book Antiqua"/>
          <w:noProof/>
          <w:sz w:val="24"/>
          <w:szCs w:val="24"/>
        </w:rPr>
        <w:t>(Hartikainen et al., 2023)</w:t>
      </w:r>
      <w:r w:rsidR="004C1BD6">
        <w:rPr>
          <w:rFonts w:ascii="Book Antiqua" w:hAnsi="Book Antiqua"/>
          <w:sz w:val="24"/>
          <w:szCs w:val="24"/>
        </w:rPr>
        <w:fldChar w:fldCharType="end"/>
      </w:r>
      <w:r w:rsidRPr="00EF0129">
        <w:rPr>
          <w:rFonts w:ascii="Book Antiqua" w:hAnsi="Book Antiqua"/>
          <w:sz w:val="24"/>
          <w:szCs w:val="24"/>
        </w:rPr>
        <w:t>.</w:t>
      </w:r>
    </w:p>
    <w:p w14:paraId="4346B9AE" w14:textId="77777777" w:rsidR="00E968D3" w:rsidRDefault="00E968D3" w:rsidP="00EF0129">
      <w:pPr>
        <w:pStyle w:val="NoSpacing"/>
        <w:jc w:val="both"/>
        <w:rPr>
          <w:rFonts w:ascii="Book Antiqua" w:hAnsi="Book Antiqua"/>
          <w:b/>
          <w:sz w:val="24"/>
          <w:szCs w:val="24"/>
        </w:rPr>
      </w:pPr>
    </w:p>
    <w:p w14:paraId="0DB85AA1" w14:textId="681B6EC0" w:rsidR="00E33B67" w:rsidRPr="00EF0129" w:rsidRDefault="00E33B67" w:rsidP="00EF0129">
      <w:pPr>
        <w:pStyle w:val="NoSpacing"/>
        <w:jc w:val="both"/>
        <w:rPr>
          <w:rFonts w:ascii="Book Antiqua" w:hAnsi="Book Antiqua"/>
          <w:sz w:val="24"/>
          <w:szCs w:val="24"/>
        </w:rPr>
      </w:pPr>
      <w:r w:rsidRPr="00EF0129">
        <w:rPr>
          <w:rFonts w:ascii="Book Antiqua" w:hAnsi="Book Antiqua"/>
          <w:b/>
          <w:sz w:val="24"/>
          <w:szCs w:val="24"/>
        </w:rPr>
        <w:t>Design Stage</w:t>
      </w:r>
    </w:p>
    <w:p w14:paraId="4FC24269" w14:textId="77777777" w:rsidR="00EF0129" w:rsidRDefault="00EF0129" w:rsidP="00EF0129">
      <w:pPr>
        <w:pStyle w:val="NoSpacing"/>
        <w:jc w:val="both"/>
        <w:rPr>
          <w:rFonts w:ascii="Book Antiqua" w:hAnsi="Book Antiqua"/>
          <w:sz w:val="24"/>
          <w:szCs w:val="24"/>
        </w:rPr>
      </w:pPr>
    </w:p>
    <w:p w14:paraId="74797C25" w14:textId="4B1E074F" w:rsidR="00E33B67" w:rsidRDefault="00E33B67" w:rsidP="00EF0129">
      <w:pPr>
        <w:pStyle w:val="NoSpacing"/>
        <w:jc w:val="both"/>
        <w:rPr>
          <w:rFonts w:ascii="Book Antiqua" w:hAnsi="Book Antiqua"/>
          <w:sz w:val="24"/>
          <w:szCs w:val="24"/>
        </w:rPr>
      </w:pPr>
      <w:r w:rsidRPr="00EF0129">
        <w:rPr>
          <w:rFonts w:ascii="Book Antiqua" w:hAnsi="Book Antiqua"/>
          <w:sz w:val="24"/>
          <w:szCs w:val="24"/>
        </w:rPr>
        <w:t>The product was designed as an individual turn-taking game that could be implemented within a classical guidance session. Four students participated in each round while the remaining students observed, supported the activity, or waited for their turns. The game required participants to move along a prepared route, collect or transfer ping-pong balls, follow sequential instructions, and recall assigned information. The combination of movement and cognitive tasks was intended to maintain attention and create repeated opportunities for retrieval.</w:t>
      </w:r>
    </w:p>
    <w:p w14:paraId="5A0B402F" w14:textId="77777777" w:rsidR="00D9697C" w:rsidRPr="00EF0129" w:rsidRDefault="00D9697C" w:rsidP="00EF0129">
      <w:pPr>
        <w:pStyle w:val="NoSpacing"/>
        <w:jc w:val="both"/>
        <w:rPr>
          <w:rFonts w:ascii="Book Antiqua" w:hAnsi="Book Antiqua"/>
          <w:sz w:val="24"/>
          <w:szCs w:val="24"/>
        </w:rPr>
      </w:pPr>
    </w:p>
    <w:p w14:paraId="739C9757" w14:textId="7D9BC03F" w:rsidR="00E33B67" w:rsidRPr="00EF0129" w:rsidRDefault="00E33B67" w:rsidP="00EF0129">
      <w:pPr>
        <w:pStyle w:val="NoSpacing"/>
        <w:jc w:val="both"/>
        <w:rPr>
          <w:rFonts w:ascii="Book Antiqua" w:hAnsi="Book Antiqua"/>
          <w:sz w:val="24"/>
          <w:szCs w:val="24"/>
        </w:rPr>
      </w:pPr>
      <w:r w:rsidRPr="00EF0129">
        <w:rPr>
          <w:rFonts w:ascii="Book Antiqua" w:hAnsi="Book Antiqua"/>
          <w:sz w:val="24"/>
          <w:szCs w:val="24"/>
        </w:rPr>
        <w:t>The equipment consisted of route markers, ping-pong balls, containers, and a game track adjusted to the available space. The guidebook included the objectives, required materials, preparation procedures, rules, safety considerations, implementation steps, reflection questions, and evaluation forms</w:t>
      </w:r>
      <w:r w:rsidR="004C1BD6">
        <w:rPr>
          <w:rFonts w:ascii="Book Antiqua" w:hAnsi="Book Antiqua"/>
          <w:sz w:val="24"/>
          <w:szCs w:val="24"/>
        </w:rPr>
        <w:t xml:space="preserve"> </w:t>
      </w:r>
      <w:r w:rsidR="004C1BD6">
        <w:rPr>
          <w:rFonts w:ascii="Book Antiqua" w:hAnsi="Book Antiqua"/>
          <w:sz w:val="24"/>
          <w:szCs w:val="24"/>
        </w:rPr>
        <w:fldChar w:fldCharType="begin" w:fldLock="1"/>
      </w:r>
      <w:r w:rsidR="00A70996">
        <w:rPr>
          <w:rFonts w:ascii="Book Antiqua" w:hAnsi="Book Antiqua"/>
          <w:sz w:val="24"/>
          <w:szCs w:val="24"/>
        </w:rPr>
        <w:instrText>ADDIN CSL_CITATION {"citationItems":[{"id":"ITEM-1","itemData":{"DOI":"10.1145/3637528.3671460","ISBN":"9798400704901","ISSN":"2154817X","abstract":"Graphs are an essential data structure utilized to represent relationships in real-world scenarios. Prior research has established that Graph Neural Networks (GNNs) deliver impressive outcomes in graph-centric tasks, such as link prediction and node classification. Despite these advancements, challenges like data sparsity and limited generalization capabilities continue to persist. Recently, Large Language Models (LLMs) have gained attention in natural language processing. They excel in language comprehension and summarization. Integrating LLMs with graph learning techniques has attracted interest as a way to enhance performance in graph learning tasks. In this survey, we conduct an in-depth review of the latest state-of-the-art LLMs applied in graph learning and introduce a novel taxonomy to categorize existing methods based on their framework design. We detail four unique designs: i) GNNs as Prefix, ii) LLMs as Prefix, iii) LLMs-Graphs Integration, and iv) LLMs-Only, highlighting key methodologies within each category. We explore the strengths and limitations of each framework, and emphasize potential avenues for future research, including overcoming current integration challenges between LLMs and graph learning techniques, and venturing into new application areas. This survey aims to serve as a valuable resource for researchers and practitioners eager to leverage large language models in graph learning, and to inspire continued progress in this dynamic field. We consistently maintain the related open-source materials at https://github.com/HKUDS/Awesome-LLM4Graph-Papers.","author":[{"dropping-particle":"","family":"Ren","given":"Xubin","non-dropping-particle":"","parse-names":false,"suffix":""},{"dropping-particle":"","family":"Tang","given":"Jiabin","non-dropping-particle":"","parse-names":false,"suffix":""},{"dropping-particle":"","family":"Yin","given":"Dawei","non-dropping-particle":"","parse-names":false,"suffix":""},{"dropping-particle":"","family":"Chawla","given":"Nitesh","non-dropping-particle":"","parse-names":false,"suffix":""},{"dropping-particle":"","family":"Huang","given":"Chao","non-dropping-particle":"","parse-names":false,"suffix":""}],"container-title":"Proceedings of the ACM SIGKDD International Conference on Knowledge Discovery and Data Mining","id":"ITEM-1","issue":"12","issued":{"date-parts":[["2024"]]},"page":"6616-6626","title":"A Survey of Large Language Models for Graphs","type":"article-journal","volume":"20"},"uris":["http://www.mendeley.com/documents/?uuid=9916b673-46d1-46d2-81db-6a06c13de8ff"]},{"id":"ITEM-2","itemData":{"DOI":"10.1080/0142159X.2025.2569623","ISSN":"1466187X","PMID":"41134874","abstract":"Formative assessment and feedback are foundational to effective medical education, shaping not only what students learn but how they learn and improve over time. As healthcare education increasingly emphasizes competence, adaptability, and lifelong learning, the strategic use of formative practices becomes essential for fostering reflective, skilled, and responsive professionals. Despite the recognized importance of these tools, implementation often remains fragmented or overly reliant on traditional summative structures. This guide responds to that gap by offering evidence-based, practically grounded guidelines for integrating formative assessment and feedback across medical education contexts. Drawing from both the medical and broader educational literature, we present a coherent framework that includes key elements such as continuous assessment, alignment with learning objectives, inclusivity, validity, timeliness, peer and self-assessment, and technology-enabled feedback. By addressing persistent challenges and illustrating principles with real-world examples, this paper provides educators with actionable strategies to enhance learning and improve assessment literacy within clinical and academic environments.","author":[{"dropping-particle":"","family":"Lipnevich","given":"Anastasiya A.","non-dropping-particle":"","parse-names":false,"suffix":""},{"dropping-particle":"","family":"Mattern","given":"Krista","non-dropping-particle":"","parse-names":false,"suffix":""},{"dropping-particle":"","family":"Feddock","given":"Christopher","non-dropping-particle":"","parse-names":false,"suffix":""}],"container-title":"Medical Teacher","id":"ITEM-2","issue":"6","issued":{"date-parts":[["2026"]]},"page":"921-940","publisher":"Taylor &amp; Francis","title":"Formative assessment and feedback in medical education: A practical guide: AMEE Guide No. 189","type":"article-journal","volume":"48"},"uris":["http://www.mendeley.com/documents/?uuid=4155545e-2155-4a61-8c33-1679669617c3"]}],"mendeley":{"formattedCitation":"(Lipnevich et al., 2026; Ren et al., 2024)","plainTextFormattedCitation":"(Lipnevich et al., 2026; Ren et al., 2024)","previouslyFormattedCitation":"(Lipnevich et al., 2026; Ren et al., 2024)"},"properties":{"noteIndex":0},"schema":"https://github.com/citation-style-language/schema/raw/master/csl-citation.json"}</w:instrText>
      </w:r>
      <w:r w:rsidR="004C1BD6">
        <w:rPr>
          <w:rFonts w:ascii="Book Antiqua" w:hAnsi="Book Antiqua"/>
          <w:sz w:val="24"/>
          <w:szCs w:val="24"/>
        </w:rPr>
        <w:fldChar w:fldCharType="separate"/>
      </w:r>
      <w:r w:rsidR="004C1BD6" w:rsidRPr="004C1BD6">
        <w:rPr>
          <w:rFonts w:ascii="Book Antiqua" w:hAnsi="Book Antiqua"/>
          <w:noProof/>
          <w:sz w:val="24"/>
          <w:szCs w:val="24"/>
        </w:rPr>
        <w:t xml:space="preserve">(Lipnevich et al., </w:t>
      </w:r>
      <w:r w:rsidR="004C1BD6" w:rsidRPr="004C1BD6">
        <w:rPr>
          <w:rFonts w:ascii="Book Antiqua" w:hAnsi="Book Antiqua"/>
          <w:noProof/>
          <w:sz w:val="24"/>
          <w:szCs w:val="24"/>
        </w:rPr>
        <w:lastRenderedPageBreak/>
        <w:t>2026; Ren et al., 2024)</w:t>
      </w:r>
      <w:r w:rsidR="004C1BD6">
        <w:rPr>
          <w:rFonts w:ascii="Book Antiqua" w:hAnsi="Book Antiqua"/>
          <w:sz w:val="24"/>
          <w:szCs w:val="24"/>
        </w:rPr>
        <w:fldChar w:fldCharType="end"/>
      </w:r>
      <w:r w:rsidRPr="00EF0129">
        <w:rPr>
          <w:rFonts w:ascii="Book Antiqua" w:hAnsi="Book Antiqua"/>
          <w:sz w:val="24"/>
          <w:szCs w:val="24"/>
        </w:rPr>
        <w:t>. Validation sheets for media and material experts and response questionnaires for the guidance counselor and students were also prepared.</w:t>
      </w:r>
    </w:p>
    <w:p w14:paraId="7B06A74F" w14:textId="77777777" w:rsidR="00EF0129" w:rsidRDefault="00EF0129" w:rsidP="00EF0129">
      <w:pPr>
        <w:pStyle w:val="NoSpacing"/>
        <w:jc w:val="both"/>
        <w:rPr>
          <w:rFonts w:ascii="Book Antiqua" w:hAnsi="Book Antiqua"/>
          <w:b/>
          <w:sz w:val="24"/>
          <w:szCs w:val="24"/>
        </w:rPr>
      </w:pPr>
    </w:p>
    <w:p w14:paraId="5966E734" w14:textId="6A7A9081" w:rsidR="00E33B67" w:rsidRPr="00EF0129" w:rsidRDefault="00E33B67" w:rsidP="00EF0129">
      <w:pPr>
        <w:pStyle w:val="NoSpacing"/>
        <w:jc w:val="both"/>
        <w:rPr>
          <w:rFonts w:ascii="Book Antiqua" w:hAnsi="Book Antiqua"/>
          <w:sz w:val="24"/>
          <w:szCs w:val="24"/>
        </w:rPr>
      </w:pPr>
      <w:r w:rsidRPr="00EF0129">
        <w:rPr>
          <w:rFonts w:ascii="Book Antiqua" w:hAnsi="Book Antiqua"/>
          <w:b/>
          <w:sz w:val="24"/>
          <w:szCs w:val="24"/>
        </w:rPr>
        <w:t>Develop Stage</w:t>
      </w:r>
    </w:p>
    <w:p w14:paraId="3ED91CF1" w14:textId="77777777" w:rsidR="00EF0129" w:rsidRDefault="00EF0129" w:rsidP="00EF0129">
      <w:pPr>
        <w:pStyle w:val="NoSpacing"/>
        <w:jc w:val="both"/>
        <w:rPr>
          <w:rFonts w:ascii="Book Antiqua" w:hAnsi="Book Antiqua"/>
          <w:sz w:val="24"/>
          <w:szCs w:val="24"/>
        </w:rPr>
      </w:pPr>
    </w:p>
    <w:p w14:paraId="08CC22C7" w14:textId="60103D4B" w:rsidR="00E33B67" w:rsidRPr="00EF0129" w:rsidRDefault="00E33B67" w:rsidP="00EF0129">
      <w:pPr>
        <w:pStyle w:val="NoSpacing"/>
        <w:jc w:val="both"/>
        <w:rPr>
          <w:rFonts w:ascii="Book Antiqua" w:hAnsi="Book Antiqua"/>
          <w:sz w:val="24"/>
          <w:szCs w:val="24"/>
        </w:rPr>
      </w:pPr>
      <w:r w:rsidRPr="00EF0129">
        <w:rPr>
          <w:rFonts w:ascii="Book Antiqua" w:hAnsi="Book Antiqua"/>
          <w:sz w:val="24"/>
          <w:szCs w:val="24"/>
        </w:rPr>
        <w:t>The prototype was assessed by a media expert and a material expert. The media expert evaluated appearance, safety, durability, clarity, and ease of use</w:t>
      </w:r>
      <w:r w:rsidR="00A70996">
        <w:rPr>
          <w:rFonts w:ascii="Book Antiqua" w:hAnsi="Book Antiqua"/>
          <w:sz w:val="24"/>
          <w:szCs w:val="24"/>
        </w:rPr>
        <w:t xml:space="preserve"> </w:t>
      </w:r>
      <w:r w:rsidR="00A70996">
        <w:rPr>
          <w:rFonts w:ascii="Book Antiqua" w:hAnsi="Book Antiqua"/>
          <w:sz w:val="24"/>
          <w:szCs w:val="24"/>
        </w:rPr>
        <w:fldChar w:fldCharType="begin" w:fldLock="1"/>
      </w:r>
      <w:r w:rsidR="00A70996">
        <w:rPr>
          <w:rFonts w:ascii="Book Antiqua" w:hAnsi="Book Antiqua"/>
          <w:sz w:val="24"/>
          <w:szCs w:val="24"/>
        </w:rPr>
        <w:instrText>ADDIN CSL_CITATION {"citationItems":[{"id":"ITEM-1","itemData":{"DOI":"10.1080/10447318.2024.2394724","ISSN":"15327590","abstract":"Intelligent environments are rapidly gaining ground, propelled by a rich sensor infrastructure, the Internet of Things, sophisticated reasoning capabilities, and Artificial Intelligence. In this complex technological landscape, crafting usable intelligent environments and assessing the user experience (UX) demands a thorough understanding of the concepts involved and the parameters that need to be studied. This paper carries out a review of usability and UX evaluation methods and frameworks, elaborating on fundamental concepts and presenting in detail approaches and methods reported in the literature. It additionally examines evaluation approaches in adaptive and ubiquitous computing systems, which are closely associated with intelligent environments, and presents UX challenges and evaluation frameworks in intelligent environments. Finally, the findings are synthesized and consolidated to produce a comprehensive overview of the field and the challenges that lie ahead.","author":[{"dropping-particle":"","family":"Ntoa","given":"Stavroula","non-dropping-particle":"","parse-names":false,"suffix":""}],"container-title":"International Journal of Human-Computer Interaction","id":"ITEM-1","issue":"5","issued":{"date-parts":[["2025"]]},"page":"2829-2858","publisher":"Taylor &amp; Francis","title":"Usability and User Experience Evaluation in Intelligent Environments: A Review and Reappraisal","type":"article-journal","volume":"41"},"uris":["http://www.mendeley.com/documents/?uuid=52f2b0ca-13fe-4b79-b6e8-00a1642e2100"]}],"mendeley":{"formattedCitation":"(Ntoa, 2025)","plainTextFormattedCitation":"(Ntoa, 2025)","previouslyFormattedCitation":"(Ntoa, 2025)"},"properties":{"noteIndex":0},"schema":"https://github.com/citation-style-language/schema/raw/master/csl-citation.json"}</w:instrText>
      </w:r>
      <w:r w:rsidR="00A70996">
        <w:rPr>
          <w:rFonts w:ascii="Book Antiqua" w:hAnsi="Book Antiqua"/>
          <w:sz w:val="24"/>
          <w:szCs w:val="24"/>
        </w:rPr>
        <w:fldChar w:fldCharType="separate"/>
      </w:r>
      <w:r w:rsidR="00A70996" w:rsidRPr="00A70996">
        <w:rPr>
          <w:rFonts w:ascii="Book Antiqua" w:hAnsi="Book Antiqua"/>
          <w:noProof/>
          <w:sz w:val="24"/>
          <w:szCs w:val="24"/>
        </w:rPr>
        <w:t>(Ntoa, 2025)</w:t>
      </w:r>
      <w:r w:rsidR="00A70996">
        <w:rPr>
          <w:rFonts w:ascii="Book Antiqua" w:hAnsi="Book Antiqua"/>
          <w:sz w:val="24"/>
          <w:szCs w:val="24"/>
        </w:rPr>
        <w:fldChar w:fldCharType="end"/>
      </w:r>
      <w:r w:rsidRPr="00EF0129">
        <w:rPr>
          <w:rFonts w:ascii="Book Antiqua" w:hAnsi="Book Antiqua"/>
          <w:sz w:val="24"/>
          <w:szCs w:val="24"/>
        </w:rPr>
        <w:t>. The material expert evaluated the relationship between the activity and the memory-training objectives, the clarity of instructions, the suitability of the guidebook, and the appropriateness of the activity for elementary school students.</w:t>
      </w:r>
      <w:r w:rsidR="00401EF2">
        <w:rPr>
          <w:rFonts w:ascii="Book Antiqua" w:hAnsi="Book Antiqua"/>
          <w:sz w:val="24"/>
          <w:szCs w:val="24"/>
        </w:rPr>
        <w:t xml:space="preserve"> </w:t>
      </w:r>
      <w:r w:rsidRPr="00EF0129">
        <w:rPr>
          <w:rFonts w:ascii="Book Antiqua" w:hAnsi="Book Antiqua"/>
          <w:sz w:val="24"/>
          <w:szCs w:val="24"/>
        </w:rPr>
        <w:t>The media expert awarded 42 out of 50 points, equivalent to 84%, which placed the product in the highly valid category. The validator considered the appearance, design, and use of the media appropriate for limited classical guidance activities and did not request major revisions.</w:t>
      </w:r>
    </w:p>
    <w:p w14:paraId="46A425A6" w14:textId="77777777" w:rsidR="00EF0129" w:rsidRDefault="00EF0129" w:rsidP="00EF0129">
      <w:pPr>
        <w:pStyle w:val="NoSpacing"/>
        <w:jc w:val="both"/>
        <w:rPr>
          <w:rFonts w:ascii="Book Antiqua" w:hAnsi="Book Antiqua"/>
          <w:b/>
          <w:sz w:val="24"/>
          <w:szCs w:val="24"/>
        </w:rPr>
      </w:pPr>
    </w:p>
    <w:p w14:paraId="4FDA7B8A" w14:textId="2DC59B81" w:rsidR="00EF0129" w:rsidRPr="00EF0129" w:rsidRDefault="00E33B67" w:rsidP="00EF0129">
      <w:pPr>
        <w:pStyle w:val="NoSpacing"/>
        <w:jc w:val="center"/>
        <w:rPr>
          <w:rFonts w:ascii="Book Antiqua" w:hAnsi="Book Antiqua"/>
          <w:b/>
          <w:sz w:val="24"/>
          <w:szCs w:val="24"/>
        </w:rPr>
      </w:pPr>
      <w:r w:rsidRPr="00EF0129">
        <w:rPr>
          <w:rFonts w:ascii="Book Antiqua" w:hAnsi="Book Antiqua"/>
          <w:b/>
          <w:sz w:val="24"/>
          <w:szCs w:val="24"/>
        </w:rPr>
        <w:t>Table 4. Media Expert Validation Results</w:t>
      </w:r>
    </w:p>
    <w:tbl>
      <w:tblPr>
        <w:tblStyle w:val="PlainTable21"/>
        <w:tblW w:w="0" w:type="auto"/>
        <w:tblInd w:w="1384" w:type="dxa"/>
        <w:tblBorders>
          <w:top w:val="single" w:sz="4" w:space="0" w:color="auto"/>
          <w:bottom w:val="single" w:sz="4" w:space="0" w:color="auto"/>
        </w:tblBorders>
        <w:tblLook w:val="0720" w:firstRow="1" w:lastRow="0" w:firstColumn="0" w:lastColumn="1" w:noHBand="1" w:noVBand="1"/>
      </w:tblPr>
      <w:tblGrid>
        <w:gridCol w:w="1809"/>
        <w:gridCol w:w="1843"/>
        <w:gridCol w:w="1571"/>
        <w:gridCol w:w="1701"/>
      </w:tblGrid>
      <w:tr w:rsidR="00E33B67" w:rsidRPr="00EF0129" w14:paraId="6C72B922" w14:textId="77777777" w:rsidTr="00D9697C">
        <w:trPr>
          <w:cnfStyle w:val="100000000000" w:firstRow="1" w:lastRow="0" w:firstColumn="0" w:lastColumn="0" w:oddVBand="0" w:evenVBand="0" w:oddHBand="0" w:evenHBand="0" w:firstRowFirstColumn="0" w:firstRowLastColumn="0" w:lastRowFirstColumn="0" w:lastRowLastColumn="0"/>
        </w:trPr>
        <w:tc>
          <w:tcPr>
            <w:tcW w:w="1809" w:type="dxa"/>
            <w:tcBorders>
              <w:top w:val="single" w:sz="4" w:space="0" w:color="auto"/>
              <w:bottom w:val="single" w:sz="4" w:space="0" w:color="auto"/>
            </w:tcBorders>
          </w:tcPr>
          <w:p w14:paraId="442BA0B4" w14:textId="77777777" w:rsidR="00E33B67" w:rsidRPr="00EF0129" w:rsidRDefault="00E33B67" w:rsidP="00EF0129">
            <w:pPr>
              <w:pStyle w:val="NoSpacing"/>
              <w:jc w:val="both"/>
              <w:rPr>
                <w:rFonts w:ascii="Book Antiqua" w:hAnsi="Book Antiqua"/>
                <w:sz w:val="20"/>
                <w:szCs w:val="20"/>
              </w:rPr>
            </w:pPr>
            <w:r w:rsidRPr="00EF0129">
              <w:rPr>
                <w:rFonts w:ascii="Book Antiqua" w:hAnsi="Book Antiqua"/>
                <w:sz w:val="20"/>
                <w:szCs w:val="20"/>
              </w:rPr>
              <w:t>Score Obtained</w:t>
            </w:r>
          </w:p>
        </w:tc>
        <w:tc>
          <w:tcPr>
            <w:tcW w:w="1843" w:type="dxa"/>
            <w:tcBorders>
              <w:top w:val="single" w:sz="4" w:space="0" w:color="auto"/>
              <w:bottom w:val="single" w:sz="4" w:space="0" w:color="auto"/>
            </w:tcBorders>
          </w:tcPr>
          <w:p w14:paraId="58C10104" w14:textId="77777777" w:rsidR="00E33B67" w:rsidRPr="00EF0129" w:rsidRDefault="00E33B67" w:rsidP="00EF0129">
            <w:pPr>
              <w:pStyle w:val="NoSpacing"/>
              <w:jc w:val="both"/>
              <w:rPr>
                <w:rFonts w:ascii="Book Antiqua" w:hAnsi="Book Antiqua"/>
                <w:sz w:val="20"/>
                <w:szCs w:val="20"/>
              </w:rPr>
            </w:pPr>
            <w:r w:rsidRPr="00EF0129">
              <w:rPr>
                <w:rFonts w:ascii="Book Antiqua" w:hAnsi="Book Antiqua"/>
                <w:sz w:val="20"/>
                <w:szCs w:val="20"/>
              </w:rPr>
              <w:t>Maximum Score</w:t>
            </w:r>
          </w:p>
        </w:tc>
        <w:tc>
          <w:tcPr>
            <w:tcW w:w="1571" w:type="dxa"/>
            <w:tcBorders>
              <w:top w:val="single" w:sz="4" w:space="0" w:color="auto"/>
              <w:bottom w:val="single" w:sz="4" w:space="0" w:color="auto"/>
            </w:tcBorders>
          </w:tcPr>
          <w:p w14:paraId="7F50D84E" w14:textId="77777777" w:rsidR="00E33B67" w:rsidRPr="00EF0129" w:rsidRDefault="00E33B67" w:rsidP="00EF0129">
            <w:pPr>
              <w:pStyle w:val="NoSpacing"/>
              <w:jc w:val="both"/>
              <w:rPr>
                <w:rFonts w:ascii="Book Antiqua" w:hAnsi="Book Antiqua"/>
                <w:sz w:val="20"/>
                <w:szCs w:val="20"/>
              </w:rPr>
            </w:pPr>
            <w:r w:rsidRPr="00EF0129">
              <w:rPr>
                <w:rFonts w:ascii="Book Antiqua" w:hAnsi="Book Antiqua"/>
                <w:sz w:val="20"/>
                <w:szCs w:val="20"/>
              </w:rPr>
              <w:t>Percentage</w:t>
            </w:r>
          </w:p>
        </w:tc>
        <w:tc>
          <w:tcPr>
            <w:cnfStyle w:val="000100000000" w:firstRow="0" w:lastRow="0" w:firstColumn="0" w:lastColumn="1" w:oddVBand="0" w:evenVBand="0" w:oddHBand="0" w:evenHBand="0" w:firstRowFirstColumn="0" w:firstRowLastColumn="0" w:lastRowFirstColumn="0" w:lastRowLastColumn="0"/>
            <w:tcW w:w="1701" w:type="dxa"/>
            <w:tcBorders>
              <w:top w:val="single" w:sz="4" w:space="0" w:color="auto"/>
              <w:bottom w:val="single" w:sz="4" w:space="0" w:color="auto"/>
            </w:tcBorders>
          </w:tcPr>
          <w:p w14:paraId="5B873114" w14:textId="77777777" w:rsidR="00E33B67" w:rsidRPr="00EF0129" w:rsidRDefault="00E33B67" w:rsidP="00EF0129">
            <w:pPr>
              <w:pStyle w:val="NoSpacing"/>
              <w:jc w:val="both"/>
              <w:rPr>
                <w:rFonts w:ascii="Book Antiqua" w:hAnsi="Book Antiqua"/>
                <w:sz w:val="20"/>
                <w:szCs w:val="20"/>
              </w:rPr>
            </w:pPr>
            <w:r w:rsidRPr="00EF0129">
              <w:rPr>
                <w:rFonts w:ascii="Book Antiqua" w:hAnsi="Book Antiqua"/>
                <w:sz w:val="20"/>
                <w:szCs w:val="20"/>
              </w:rPr>
              <w:t>Criterion</w:t>
            </w:r>
          </w:p>
        </w:tc>
      </w:tr>
      <w:tr w:rsidR="00E33B67" w:rsidRPr="00EF0129" w14:paraId="0C51B20E" w14:textId="77777777" w:rsidTr="00D9697C">
        <w:tc>
          <w:tcPr>
            <w:tcW w:w="1809" w:type="dxa"/>
            <w:tcBorders>
              <w:top w:val="single" w:sz="4" w:space="0" w:color="auto"/>
            </w:tcBorders>
          </w:tcPr>
          <w:p w14:paraId="08354AA3" w14:textId="77777777" w:rsidR="00E33B67" w:rsidRPr="00EF0129" w:rsidRDefault="00E33B67" w:rsidP="00EF0129">
            <w:pPr>
              <w:pStyle w:val="NoSpacing"/>
              <w:jc w:val="both"/>
              <w:rPr>
                <w:rFonts w:ascii="Book Antiqua" w:hAnsi="Book Antiqua"/>
                <w:sz w:val="20"/>
                <w:szCs w:val="20"/>
              </w:rPr>
            </w:pPr>
            <w:r w:rsidRPr="00EF0129">
              <w:rPr>
                <w:rFonts w:ascii="Book Antiqua" w:hAnsi="Book Antiqua"/>
                <w:sz w:val="20"/>
                <w:szCs w:val="20"/>
              </w:rPr>
              <w:t>42</w:t>
            </w:r>
          </w:p>
        </w:tc>
        <w:tc>
          <w:tcPr>
            <w:tcW w:w="1843" w:type="dxa"/>
            <w:tcBorders>
              <w:top w:val="single" w:sz="4" w:space="0" w:color="auto"/>
            </w:tcBorders>
          </w:tcPr>
          <w:p w14:paraId="7F7CF74C" w14:textId="77777777" w:rsidR="00E33B67" w:rsidRPr="00EF0129" w:rsidRDefault="00E33B67" w:rsidP="00EF0129">
            <w:pPr>
              <w:pStyle w:val="NoSpacing"/>
              <w:jc w:val="both"/>
              <w:rPr>
                <w:rFonts w:ascii="Book Antiqua" w:hAnsi="Book Antiqua"/>
                <w:sz w:val="20"/>
                <w:szCs w:val="20"/>
              </w:rPr>
            </w:pPr>
            <w:r w:rsidRPr="00EF0129">
              <w:rPr>
                <w:rFonts w:ascii="Book Antiqua" w:hAnsi="Book Antiqua"/>
                <w:sz w:val="20"/>
                <w:szCs w:val="20"/>
              </w:rPr>
              <w:t>50</w:t>
            </w:r>
          </w:p>
        </w:tc>
        <w:tc>
          <w:tcPr>
            <w:tcW w:w="1571" w:type="dxa"/>
            <w:tcBorders>
              <w:top w:val="single" w:sz="4" w:space="0" w:color="auto"/>
            </w:tcBorders>
          </w:tcPr>
          <w:p w14:paraId="782825A1" w14:textId="77777777" w:rsidR="00E33B67" w:rsidRPr="00EF0129" w:rsidRDefault="00E33B67" w:rsidP="00EF0129">
            <w:pPr>
              <w:pStyle w:val="NoSpacing"/>
              <w:jc w:val="both"/>
              <w:rPr>
                <w:rFonts w:ascii="Book Antiqua" w:hAnsi="Book Antiqua"/>
                <w:sz w:val="20"/>
                <w:szCs w:val="20"/>
              </w:rPr>
            </w:pPr>
            <w:r w:rsidRPr="00EF0129">
              <w:rPr>
                <w:rFonts w:ascii="Book Antiqua" w:hAnsi="Book Antiqua"/>
                <w:sz w:val="20"/>
                <w:szCs w:val="20"/>
              </w:rPr>
              <w:t>84%</w:t>
            </w:r>
          </w:p>
        </w:tc>
        <w:tc>
          <w:tcPr>
            <w:cnfStyle w:val="000100000000" w:firstRow="0" w:lastRow="0" w:firstColumn="0" w:lastColumn="1" w:oddVBand="0" w:evenVBand="0" w:oddHBand="0" w:evenHBand="0" w:firstRowFirstColumn="0" w:firstRowLastColumn="0" w:lastRowFirstColumn="0" w:lastRowLastColumn="0"/>
            <w:tcW w:w="1701" w:type="dxa"/>
            <w:tcBorders>
              <w:top w:val="single" w:sz="4" w:space="0" w:color="auto"/>
            </w:tcBorders>
          </w:tcPr>
          <w:p w14:paraId="3738779E" w14:textId="77777777" w:rsidR="00E33B67" w:rsidRPr="00D9697C" w:rsidRDefault="00E33B67" w:rsidP="00EF0129">
            <w:pPr>
              <w:pStyle w:val="NoSpacing"/>
              <w:jc w:val="both"/>
              <w:rPr>
                <w:rFonts w:ascii="Book Antiqua" w:hAnsi="Book Antiqua"/>
                <w:b w:val="0"/>
                <w:bCs w:val="0"/>
                <w:sz w:val="20"/>
                <w:szCs w:val="20"/>
              </w:rPr>
            </w:pPr>
            <w:r w:rsidRPr="00D9697C">
              <w:rPr>
                <w:rFonts w:ascii="Book Antiqua" w:hAnsi="Book Antiqua"/>
                <w:b w:val="0"/>
                <w:bCs w:val="0"/>
                <w:sz w:val="20"/>
                <w:szCs w:val="20"/>
              </w:rPr>
              <w:t>Highly valid</w:t>
            </w:r>
          </w:p>
        </w:tc>
      </w:tr>
    </w:tbl>
    <w:p w14:paraId="35288BC4" w14:textId="77777777" w:rsidR="00E33B67" w:rsidRPr="00EF0129" w:rsidRDefault="00E33B67" w:rsidP="00EF0129">
      <w:pPr>
        <w:pStyle w:val="NoSpacing"/>
        <w:jc w:val="both"/>
        <w:rPr>
          <w:rFonts w:ascii="Book Antiqua" w:hAnsi="Book Antiqua"/>
          <w:sz w:val="24"/>
          <w:szCs w:val="24"/>
        </w:rPr>
      </w:pPr>
    </w:p>
    <w:p w14:paraId="6F86BF62" w14:textId="25A863C2" w:rsidR="00E33B67" w:rsidRDefault="00E33B67" w:rsidP="00EF0129">
      <w:pPr>
        <w:pStyle w:val="NoSpacing"/>
        <w:jc w:val="both"/>
        <w:rPr>
          <w:rFonts w:ascii="Book Antiqua" w:hAnsi="Book Antiqua"/>
          <w:sz w:val="24"/>
          <w:szCs w:val="24"/>
        </w:rPr>
      </w:pPr>
      <w:r w:rsidRPr="00EF0129">
        <w:rPr>
          <w:rFonts w:ascii="Book Antiqua" w:hAnsi="Book Antiqua"/>
          <w:sz w:val="24"/>
          <w:szCs w:val="24"/>
        </w:rPr>
        <w:t>The material expert awarded 56 out of 60 points, equivalent to 93.33%, which placed the material in the highly valid category. The expert recommended improving the placement of images in the guidebook so that they would not interrupt the text or reduce reading comfort</w:t>
      </w:r>
      <w:r w:rsidR="00A70996">
        <w:rPr>
          <w:rFonts w:ascii="Book Antiqua" w:hAnsi="Book Antiqua"/>
          <w:sz w:val="24"/>
          <w:szCs w:val="24"/>
        </w:rPr>
        <w:t xml:space="preserve"> </w:t>
      </w:r>
      <w:r w:rsidR="00A70996">
        <w:rPr>
          <w:rFonts w:ascii="Book Antiqua" w:hAnsi="Book Antiqua"/>
          <w:sz w:val="24"/>
          <w:szCs w:val="24"/>
        </w:rPr>
        <w:fldChar w:fldCharType="begin" w:fldLock="1"/>
      </w:r>
      <w:r w:rsidR="001A47B9">
        <w:rPr>
          <w:rFonts w:ascii="Book Antiqua" w:hAnsi="Book Antiqua"/>
          <w:sz w:val="24"/>
          <w:szCs w:val="24"/>
        </w:rPr>
        <w:instrText>ADDIN CSL_CITATION {"citationItems":[{"id":"ITEM-1","itemData":{"DOI":"10.1080/21645515.2025.2491853","ISSN":"2164554X","PMID":"40768557","abstract":"The CARD system (Comfort-Ask-Relax-Distract) is an evidence-based protocol for mitigating vaccine injection-related reactions, such as pain, fear and fainting. We developed a new online CARD training course to educate organizations and providers about CARD and evaluated usability and impact on conceptual knowledge and attitudes. After an initial development phase, three iterative phases of user testing were conducted in individuals with different levels of familiarity with CARD. In the first two phases, experts and non-experts provided feedback using surveys and semi-structured interviews. In the third phase, new learners answered a knowledge test and attitudes survey. Revisions occurred throughout based on qualitative and quantitative analyses, guided by the Universal Design for Learning (UDL) framework. Thirty-one healthcare providers and trainees from 8 disciplines participated across study phases. They held positive attitudes in all components of the UDL, including engagement (e.g. perceptions of relevance and value), representation (e.g. multiple ways included to perceive information, common language), and action and expression (e.g. access to materials, interactivity). Modifications addressed feedback regarding content development, organization and expression of information, and course navigation. Phase 3 participants demonstrated knowledge and positive attitudes about CARD, including confidence and intention to use CARD. In summary, this study developed and refined an online CARD course to educate organizations and providers about CARD in a feasible way and to improve readiness for implementation. The course has the potential to improve efficiency and effectiveness of CARD implementation.","author":[{"dropping-particle":"","family":"Taddio","given":"Anna","non-dropping-particle":"","parse-names":false,"suffix":""},{"dropping-particle":"","family":"Ilersich","given":"Anthony N.T.","non-dropping-particle":"","parse-names":false,"suffix":""},{"dropping-particle":"","family":"McMurtry","given":"C. Meghan","non-dropping-particle":"","parse-names":false,"suffix":""},{"dropping-particle":"","family":"Constantin","given":"Kaytlin","non-dropping-particle":"","parse-names":false,"suffix":""},{"dropping-particle":"","family":"Bucci","given":"Lucie M.","non-dropping-particle":"","parse-names":false,"suffix":""},{"dropping-particle":"","family":"Gudzak","given":"Victoria","non-dropping-particle":"","parse-names":false,"suffix":""},{"dropping-particle":"","family":"Logeman","given":"Charlotte","non-dropping-particle":"","parse-names":false,"suffix":""},{"dropping-particle":"","family":"Crown","given":"Natalie","non-dropping-particle":"","parse-names":false,"suffix":""},{"dropping-particle":"","family":"Kohli","given":"Mandy","non-dropping-particle":"","parse-names":false,"suffix":""},{"dropping-particle":"","family":"Ledrew","given":"Erin","non-dropping-particle":"","parse-names":false,"suffix":""},{"dropping-particle":"","family":"MacDonald","given":"Noni E.","non-dropping-particle":"","parse-names":false,"suffix":""}],"container-title":"Human Vaccines and Immunotherapeutics","id":"ITEM-1","issue":"1","issued":{"date-parts":[["2025"]]},"publisher":"Taylor &amp; Francis","title":"Development and refinement of an online CARD (Comfort Ask Relax Distract) course for organizations and providers delivering vaccinations and other needle procedures","type":"article-journal","volume":"21"},"uris":["http://www.mendeley.com/documents/?uuid=d78d35fa-98b5-43db-b2e2-0af9df983938"]},{"id":"ITEM-2","itemData":{"DOI":"10.1177/14738716241236188","ISSN":"14738724","abstract":"Word Rain is a development of the classic word cloud. It addresses some of the limitations of word clouds, in particular the lack of a semantically motivated positioning of the words, and the use of font size as a sole indicator of word prominence. Word Rain uses the semantic information encoded in a distributional semantics-based language model – reduced into one dimension – to position the words along the x-axis. Thereby, the horizontal positioning of the words reflects semantic similarity. Font size is still used to signal word prominence, but this signal is supplemented with a bar chart, as well as with the position of the words on the y-axis. We exemplify the use of Word Rain by three concrete visualization tasks, applied on different real-world texts and document collections on climate change. In these case studies, word2vec models, reduced to one dimension with t-SNE, are used to encode semantic similarity, and TF-IDF is used for measuring word prominence. We evaluate the technique further by carrying out domain expert reviews.","author":[{"dropping-particle":"","family":"Skeppstedt","given":"Maria","non-dropping-particle":"","parse-names":false,"suffix":""},{"dropping-particle":"","family":"Ahltorp","given":"Magnus","non-dropping-particle":"","parse-names":false,"suffix":""},{"dropping-particle":"","family":"Kucher","given":"Kostiantyn","non-dropping-particle":"","parse-names":false,"suffix":""},{"dropping-particle":"","family":"Lindström","given":"Matts","non-dropping-particle":"","parse-names":false,"suffix":""}],"container-title":"Information Visualization","id":"ITEM-2","issue":"3","issued":{"date-parts":[["2024"]]},"page":"217-238","title":"From word clouds to Word Rain: Revisiting the classic word cloud to visualize climate change texts","type":"article-journal","volume":"23"},"uris":["http://www.mendeley.com/documents/?uuid=c411bc16-b590-43c7-a284-8c4413576aed"]}],"mendeley":{"formattedCitation":"(Skeppstedt et al., 2024; Taddio et al., 2025)","plainTextFormattedCitation":"(Skeppstedt et al., 2024; Taddio et al., 2025)","previouslyFormattedCitation":"(Skeppstedt et al., 2024; Taddio et al., 2025)"},"properties":{"noteIndex":0},"schema":"https://github.com/citation-style-language/schema/raw/master/csl-citation.json"}</w:instrText>
      </w:r>
      <w:r w:rsidR="00A70996">
        <w:rPr>
          <w:rFonts w:ascii="Book Antiqua" w:hAnsi="Book Antiqua"/>
          <w:sz w:val="24"/>
          <w:szCs w:val="24"/>
        </w:rPr>
        <w:fldChar w:fldCharType="separate"/>
      </w:r>
      <w:r w:rsidR="00A70996" w:rsidRPr="00A70996">
        <w:rPr>
          <w:rFonts w:ascii="Book Antiqua" w:hAnsi="Book Antiqua"/>
          <w:noProof/>
          <w:sz w:val="24"/>
          <w:szCs w:val="24"/>
        </w:rPr>
        <w:t>(Skeppstedt et al., 2024; Taddio et al., 2025)</w:t>
      </w:r>
      <w:r w:rsidR="00A70996">
        <w:rPr>
          <w:rFonts w:ascii="Book Antiqua" w:hAnsi="Book Antiqua"/>
          <w:sz w:val="24"/>
          <w:szCs w:val="24"/>
        </w:rPr>
        <w:fldChar w:fldCharType="end"/>
      </w:r>
      <w:r w:rsidRPr="00EF0129">
        <w:rPr>
          <w:rFonts w:ascii="Book Antiqua" w:hAnsi="Book Antiqua"/>
          <w:sz w:val="24"/>
          <w:szCs w:val="24"/>
        </w:rPr>
        <w:t>.</w:t>
      </w:r>
    </w:p>
    <w:p w14:paraId="3AC534E6" w14:textId="77777777" w:rsidR="00EF0129" w:rsidRPr="00EF0129" w:rsidRDefault="00EF0129" w:rsidP="00EF0129">
      <w:pPr>
        <w:pStyle w:val="NoSpacing"/>
        <w:jc w:val="both"/>
        <w:rPr>
          <w:rFonts w:ascii="Book Antiqua" w:hAnsi="Book Antiqua"/>
          <w:sz w:val="24"/>
          <w:szCs w:val="24"/>
        </w:rPr>
      </w:pPr>
    </w:p>
    <w:p w14:paraId="0658FA3A" w14:textId="089FC1E8" w:rsidR="00EF0129" w:rsidRPr="00EF0129" w:rsidRDefault="00E33B67" w:rsidP="00EF0129">
      <w:pPr>
        <w:pStyle w:val="NoSpacing"/>
        <w:jc w:val="center"/>
        <w:rPr>
          <w:rFonts w:ascii="Book Antiqua" w:hAnsi="Book Antiqua"/>
          <w:b/>
          <w:sz w:val="24"/>
          <w:szCs w:val="24"/>
        </w:rPr>
      </w:pPr>
      <w:r w:rsidRPr="00EF0129">
        <w:rPr>
          <w:rFonts w:ascii="Book Antiqua" w:hAnsi="Book Antiqua"/>
          <w:b/>
          <w:sz w:val="24"/>
          <w:szCs w:val="24"/>
        </w:rPr>
        <w:t>Table 5. Material Expert Validation Results</w:t>
      </w:r>
    </w:p>
    <w:tbl>
      <w:tblPr>
        <w:tblStyle w:val="PlainTable21"/>
        <w:tblW w:w="0" w:type="auto"/>
        <w:tblInd w:w="1242" w:type="dxa"/>
        <w:tblLook w:val="0720" w:firstRow="1" w:lastRow="0" w:firstColumn="0" w:lastColumn="1" w:noHBand="1" w:noVBand="1"/>
      </w:tblPr>
      <w:tblGrid>
        <w:gridCol w:w="1809"/>
        <w:gridCol w:w="1820"/>
        <w:gridCol w:w="1406"/>
        <w:gridCol w:w="1701"/>
      </w:tblGrid>
      <w:tr w:rsidR="00E33B67" w:rsidRPr="00EF0129" w14:paraId="052C8076" w14:textId="77777777" w:rsidTr="00D9697C">
        <w:trPr>
          <w:cnfStyle w:val="100000000000" w:firstRow="1" w:lastRow="0" w:firstColumn="0" w:lastColumn="0" w:oddVBand="0" w:evenVBand="0" w:oddHBand="0" w:evenHBand="0" w:firstRowFirstColumn="0" w:firstRowLastColumn="0" w:lastRowFirstColumn="0" w:lastRowLastColumn="0"/>
        </w:trPr>
        <w:tc>
          <w:tcPr>
            <w:tcW w:w="1809" w:type="dxa"/>
          </w:tcPr>
          <w:p w14:paraId="1AA4B5CC" w14:textId="77777777" w:rsidR="00E33B67" w:rsidRPr="00EF0129" w:rsidRDefault="00E33B67" w:rsidP="00EF0129">
            <w:pPr>
              <w:pStyle w:val="NoSpacing"/>
              <w:jc w:val="both"/>
              <w:rPr>
                <w:rFonts w:ascii="Book Antiqua" w:hAnsi="Book Antiqua"/>
                <w:sz w:val="20"/>
                <w:szCs w:val="20"/>
              </w:rPr>
            </w:pPr>
            <w:r w:rsidRPr="00EF0129">
              <w:rPr>
                <w:rFonts w:ascii="Book Antiqua" w:hAnsi="Book Antiqua"/>
                <w:sz w:val="20"/>
                <w:szCs w:val="20"/>
              </w:rPr>
              <w:t>Score Obtained</w:t>
            </w:r>
          </w:p>
        </w:tc>
        <w:tc>
          <w:tcPr>
            <w:tcW w:w="1820" w:type="dxa"/>
          </w:tcPr>
          <w:p w14:paraId="3BDF1FB0" w14:textId="77777777" w:rsidR="00E33B67" w:rsidRPr="00EF0129" w:rsidRDefault="00E33B67" w:rsidP="00EF0129">
            <w:pPr>
              <w:pStyle w:val="NoSpacing"/>
              <w:jc w:val="both"/>
              <w:rPr>
                <w:rFonts w:ascii="Book Antiqua" w:hAnsi="Book Antiqua"/>
                <w:sz w:val="20"/>
                <w:szCs w:val="20"/>
              </w:rPr>
            </w:pPr>
            <w:r w:rsidRPr="00EF0129">
              <w:rPr>
                <w:rFonts w:ascii="Book Antiqua" w:hAnsi="Book Antiqua"/>
                <w:sz w:val="20"/>
                <w:szCs w:val="20"/>
              </w:rPr>
              <w:t>Maximum Score</w:t>
            </w:r>
          </w:p>
        </w:tc>
        <w:tc>
          <w:tcPr>
            <w:tcW w:w="1406" w:type="dxa"/>
          </w:tcPr>
          <w:p w14:paraId="79CF6ED6" w14:textId="77777777" w:rsidR="00E33B67" w:rsidRPr="00EF0129" w:rsidRDefault="00E33B67" w:rsidP="00EF0129">
            <w:pPr>
              <w:pStyle w:val="NoSpacing"/>
              <w:jc w:val="both"/>
              <w:rPr>
                <w:rFonts w:ascii="Book Antiqua" w:hAnsi="Book Antiqua"/>
                <w:sz w:val="20"/>
                <w:szCs w:val="20"/>
              </w:rPr>
            </w:pPr>
            <w:r w:rsidRPr="00EF0129">
              <w:rPr>
                <w:rFonts w:ascii="Book Antiqua" w:hAnsi="Book Antiqua"/>
                <w:sz w:val="20"/>
                <w:szCs w:val="20"/>
              </w:rPr>
              <w:t>Percentage</w:t>
            </w:r>
          </w:p>
        </w:tc>
        <w:tc>
          <w:tcPr>
            <w:cnfStyle w:val="000100000000" w:firstRow="0" w:lastRow="0" w:firstColumn="0" w:lastColumn="1" w:oddVBand="0" w:evenVBand="0" w:oddHBand="0" w:evenHBand="0" w:firstRowFirstColumn="0" w:firstRowLastColumn="0" w:lastRowFirstColumn="0" w:lastRowLastColumn="0"/>
            <w:tcW w:w="1701" w:type="dxa"/>
          </w:tcPr>
          <w:p w14:paraId="25DC0805" w14:textId="77777777" w:rsidR="00E33B67" w:rsidRPr="00EF0129" w:rsidRDefault="00E33B67" w:rsidP="00EF0129">
            <w:pPr>
              <w:pStyle w:val="NoSpacing"/>
              <w:jc w:val="both"/>
              <w:rPr>
                <w:rFonts w:ascii="Book Antiqua" w:hAnsi="Book Antiqua"/>
                <w:sz w:val="20"/>
                <w:szCs w:val="20"/>
              </w:rPr>
            </w:pPr>
            <w:r w:rsidRPr="00EF0129">
              <w:rPr>
                <w:rFonts w:ascii="Book Antiqua" w:hAnsi="Book Antiqua"/>
                <w:sz w:val="20"/>
                <w:szCs w:val="20"/>
              </w:rPr>
              <w:t>Criterion</w:t>
            </w:r>
          </w:p>
        </w:tc>
      </w:tr>
      <w:tr w:rsidR="00E33B67" w:rsidRPr="00EF0129" w14:paraId="18932F09" w14:textId="77777777" w:rsidTr="00D9697C">
        <w:tc>
          <w:tcPr>
            <w:tcW w:w="1809" w:type="dxa"/>
          </w:tcPr>
          <w:p w14:paraId="1748DDC6" w14:textId="77777777" w:rsidR="00E33B67" w:rsidRPr="00EF0129" w:rsidRDefault="00E33B67" w:rsidP="00EF0129">
            <w:pPr>
              <w:pStyle w:val="NoSpacing"/>
              <w:jc w:val="both"/>
              <w:rPr>
                <w:rFonts w:ascii="Book Antiqua" w:hAnsi="Book Antiqua"/>
                <w:sz w:val="20"/>
                <w:szCs w:val="20"/>
              </w:rPr>
            </w:pPr>
            <w:r w:rsidRPr="00EF0129">
              <w:rPr>
                <w:rFonts w:ascii="Book Antiqua" w:hAnsi="Book Antiqua"/>
                <w:sz w:val="20"/>
                <w:szCs w:val="20"/>
              </w:rPr>
              <w:t>56</w:t>
            </w:r>
          </w:p>
        </w:tc>
        <w:tc>
          <w:tcPr>
            <w:tcW w:w="1820" w:type="dxa"/>
          </w:tcPr>
          <w:p w14:paraId="6170C387" w14:textId="77777777" w:rsidR="00E33B67" w:rsidRPr="00EF0129" w:rsidRDefault="00E33B67" w:rsidP="00EF0129">
            <w:pPr>
              <w:pStyle w:val="NoSpacing"/>
              <w:jc w:val="both"/>
              <w:rPr>
                <w:rFonts w:ascii="Book Antiqua" w:hAnsi="Book Antiqua"/>
                <w:sz w:val="20"/>
                <w:szCs w:val="20"/>
              </w:rPr>
            </w:pPr>
            <w:r w:rsidRPr="00EF0129">
              <w:rPr>
                <w:rFonts w:ascii="Book Antiqua" w:hAnsi="Book Antiqua"/>
                <w:sz w:val="20"/>
                <w:szCs w:val="20"/>
              </w:rPr>
              <w:t>60</w:t>
            </w:r>
          </w:p>
        </w:tc>
        <w:tc>
          <w:tcPr>
            <w:tcW w:w="1406" w:type="dxa"/>
          </w:tcPr>
          <w:p w14:paraId="3E0A00A3" w14:textId="77777777" w:rsidR="00E33B67" w:rsidRPr="00EF0129" w:rsidRDefault="00E33B67" w:rsidP="00EF0129">
            <w:pPr>
              <w:pStyle w:val="NoSpacing"/>
              <w:jc w:val="both"/>
              <w:rPr>
                <w:rFonts w:ascii="Book Antiqua" w:hAnsi="Book Antiqua"/>
                <w:sz w:val="20"/>
                <w:szCs w:val="20"/>
              </w:rPr>
            </w:pPr>
            <w:r w:rsidRPr="00EF0129">
              <w:rPr>
                <w:rFonts w:ascii="Book Antiqua" w:hAnsi="Book Antiqua"/>
                <w:sz w:val="20"/>
                <w:szCs w:val="20"/>
              </w:rPr>
              <w:t>93.33%</w:t>
            </w:r>
          </w:p>
        </w:tc>
        <w:tc>
          <w:tcPr>
            <w:cnfStyle w:val="000100000000" w:firstRow="0" w:lastRow="0" w:firstColumn="0" w:lastColumn="1" w:oddVBand="0" w:evenVBand="0" w:oddHBand="0" w:evenHBand="0" w:firstRowFirstColumn="0" w:firstRowLastColumn="0" w:lastRowFirstColumn="0" w:lastRowLastColumn="0"/>
            <w:tcW w:w="1701" w:type="dxa"/>
          </w:tcPr>
          <w:p w14:paraId="20C74AF4" w14:textId="77777777" w:rsidR="00E33B67" w:rsidRPr="006F5AF4" w:rsidRDefault="00E33B67" w:rsidP="00EF0129">
            <w:pPr>
              <w:pStyle w:val="NoSpacing"/>
              <w:jc w:val="both"/>
              <w:rPr>
                <w:rFonts w:ascii="Book Antiqua" w:hAnsi="Book Antiqua"/>
                <w:b w:val="0"/>
                <w:bCs w:val="0"/>
                <w:sz w:val="20"/>
                <w:szCs w:val="20"/>
              </w:rPr>
            </w:pPr>
            <w:r w:rsidRPr="006F5AF4">
              <w:rPr>
                <w:rFonts w:ascii="Book Antiqua" w:hAnsi="Book Antiqua"/>
                <w:b w:val="0"/>
                <w:bCs w:val="0"/>
                <w:sz w:val="20"/>
                <w:szCs w:val="20"/>
              </w:rPr>
              <w:t>Highly valid</w:t>
            </w:r>
          </w:p>
        </w:tc>
      </w:tr>
    </w:tbl>
    <w:p w14:paraId="61802F2E" w14:textId="77777777" w:rsidR="00E33B67" w:rsidRPr="00EF0129" w:rsidRDefault="00E33B67" w:rsidP="00EF0129">
      <w:pPr>
        <w:pStyle w:val="NoSpacing"/>
        <w:jc w:val="both"/>
        <w:rPr>
          <w:rFonts w:ascii="Book Antiqua" w:hAnsi="Book Antiqua"/>
          <w:sz w:val="24"/>
          <w:szCs w:val="24"/>
        </w:rPr>
      </w:pPr>
    </w:p>
    <w:p w14:paraId="0D9ED96C" w14:textId="77E44432" w:rsidR="00E33B67" w:rsidRDefault="00E33B67" w:rsidP="00EF0129">
      <w:pPr>
        <w:pStyle w:val="NoSpacing"/>
        <w:jc w:val="both"/>
        <w:rPr>
          <w:rFonts w:ascii="Book Antiqua" w:hAnsi="Book Antiqua"/>
          <w:sz w:val="24"/>
          <w:szCs w:val="24"/>
        </w:rPr>
      </w:pPr>
      <w:r w:rsidRPr="00EF0129">
        <w:rPr>
          <w:rFonts w:ascii="Book Antiqua" w:hAnsi="Book Antiqua"/>
          <w:sz w:val="24"/>
          <w:szCs w:val="24"/>
        </w:rPr>
        <w:t>After the recommended revisions were completed, the product underwent practicality assessment</w:t>
      </w:r>
      <w:r w:rsidR="001A47B9">
        <w:rPr>
          <w:rFonts w:ascii="Book Antiqua" w:hAnsi="Book Antiqua"/>
          <w:sz w:val="24"/>
          <w:szCs w:val="24"/>
        </w:rPr>
        <w:t xml:space="preserve"> </w:t>
      </w:r>
      <w:r w:rsidR="001A47B9">
        <w:rPr>
          <w:rFonts w:ascii="Book Antiqua" w:hAnsi="Book Antiqua"/>
          <w:sz w:val="24"/>
          <w:szCs w:val="24"/>
        </w:rPr>
        <w:fldChar w:fldCharType="begin" w:fldLock="1"/>
      </w:r>
      <w:r w:rsidR="001A47B9">
        <w:rPr>
          <w:rFonts w:ascii="Book Antiqua" w:hAnsi="Book Antiqua"/>
          <w:sz w:val="24"/>
          <w:szCs w:val="24"/>
        </w:rPr>
        <w:instrText>ADDIN CSL_CITATION {"citationItems":[{"id":"ITEM-1","itemData":{"DOI":"10.1080/02656736.2022.2112309","ISSN":"14645157","PMID":"36002243","abstract":"Rationale Current hepatic locoregional therapies are limited in terms of effectiveness and toxicities. Given promising pre-clinical results, a first in-human trial was designed to assess the technical effectiveness and safety profile of histotripsy, a noninvasive, non-thermal, non-ionizing focused ultrasound therapy that creates precise, predictable tissue destruction, in patients with primary and secondary liver tumors. Methods A multicenter phase I trial (Theresa Study) was performed in a single country with 8 weeks of planned follow-up. Eight of fourteen recruited patients were deemed eligible and enrolled in the study. Hepatic histotripsy, was performed with a prototype system (HistoSonics, Inc., Ann Arbor, MI). Eleven tumors were targeted in the 8 patients who all had unresectable end-stage multifocal liver tumors: colorectal liver metastases (CRLM) in 5 patients (7 tumors), breast cancer metastases in 1 (1 tumor), cholangiocarcinoma metastases in 1 (2 tumors), and hepatocellular carcinoma (HCC) in 1 (1 tumor). The primary endpoint was acute technical success, defined as creating a zone of tissue destruction per planned volume assessed by MRI 1-day post-procedure. Safety (device-related adverse events) through 2 months was a secondary endpoint. Results The 8 patients had a median age of 60.4 years with an average targeted tumor diameter of 1.4 cm. The primary endpoint was achieved in all procedures. The secondary safety profile endpoint identified no device-related adverse events. Two patients experienced a continuous decline in tumor markers during the eight weeks following the procedure. Conclusions This first-in-human trial demonstrates that hepatic histotripsy effectively destroys liver tissue in a predictable manner, correlating very well with the planned histotripsy volume, and has a high safety profile without any device-related adverse events. Based on these results, the need for more definitive clinical trials is warranted. Trial Registration: Study to Evaluate VORTX Rx (Theresa). NCT03741088. https://clinicaltrials.gov/ct2/show/NCT03741088KEY POINTS Histotripsy, a new noninvasive, non-thermal, non-ionizing focused ultrasound therapy, safely created a zone of tissue destruction in the liver that correlated very well with the pre-defined planned tissue destruction volume. In this first human trial histotripsy was well tolerated with no histotripsy device-related adverse events and its primary endpoint of acute technical success was achieved…","author":[{"dropping-particle":"","family":"Vidal-Jove","given":"Joan","non-dropping-particle":"","parse-names":false,"suffix":""},{"dropping-particle":"","family":"Serres","given":"Xavier","non-dropping-particle":"","parse-names":false,"suffix":""},{"dropping-particle":"","family":"Vlaisavljevich","given":"Eli","non-dropping-particle":"","parse-names":false,"suffix":""},{"dropping-particle":"","family":"Cannata","given":"Jon","non-dropping-particle":"","parse-names":false,"suffix":""},{"dropping-particle":"","family":"Duryea","given":"Alex","non-dropping-particle":"","parse-names":false,"suffix":""},{"dropping-particle":"","family":"Miller","given":"Ryan","non-dropping-particle":"","parse-names":false,"suffix":""},{"dropping-particle":"","family":"Merino","given":"Xavier","non-dropping-particle":"","parse-names":false,"suffix":""},{"dropping-particle":"","family":"Velat","given":"Manuela","non-dropping-particle":"","parse-names":false,"suffix":""},{"dropping-particle":"","family":"Kam","given":"Yossi","non-dropping-particle":"","parse-names":false,"suffix":""},{"dropping-particle":"","family":"Bolduan","given":"Ryan","non-dropping-particle":"","parse-names":false,"suffix":""},{"dropping-particle":"","family":"Amaral","given":"Joseph","non-dropping-particle":"","parse-names":false,"suffix":""},{"dropping-particle":"","family":"Hall","given":"Timothy","non-dropping-particle":"","parse-names":false,"suffix":""},{"dropping-particle":"","family":"Xu","given":"Zhen","non-dropping-particle":"","parse-names":false,"suffix":""},{"dropping-particle":"","family":"Lee","given":"Fred T.","non-dropping-particle":"","parse-names":false,"suffix":""},{"dropping-particle":"","family":"Ziemlewicz","given":"Timothy J.","non-dropping-particle":"","parse-names":false,"suffix":""}],"container-title":"International Journal of Hyperthermia","id":"ITEM-1","issue":"1","issued":{"date-parts":[["2022"]]},"page":"1115-1123","publisher":"Taylor &amp; Francis","title":"First-in-man histotripsy of hepatic tumors: the THERESA trial, a feasibility study","type":"article-journal","volume":"39"},"uris":["http://www.mendeley.com/documents/?uuid=fdba3ba3-1eb2-4788-9122-bf0c09e1dbb3"]},{"id":"ITEM-2","itemData":{"DOI":"10.1186/s13731-023-00311-1","ISSN":"21925372","abstract":"This research proposes a new product development (NPD) framework for innovation-driven deep-tech research to commercialization and tested it with three case studies of different exploitation methods. The proposed framework, called Augmented Stage-Gate, integrates the next-generation Agile Stage-Gate development process with lean startup and design thinking approaches. The framework consists of six stages and five gates and focuses on critical thinking to help entrepreneurs avoid psychological traps and make the right decisions. Early activities focus on scouting for potential socioeconomically impactful deep-tech research, developing a business case, market analysis, and strategy for problem–solution fit, and then, moving to a build–measure–learn activity with a validated learning feedback loop. Next, suitable exploitation methods are decided using weight factor analysis, developing intellectual property (IP) strategy, completing the university technology transfer process, and participating in fundraising. To pass each gate, the committee board members, consisting of tech, business, IP and regulatory, and domain experts, will evaluate the passing criteria to decide Go/No-Go. Applying the framework to the case studies results in successful university research commercialization. The model, case study, and lessons learned in this paper can be useful for other deep-tech incubator programs to successfully launch deep-tech research for commercialization. The case studies’ positive outcomes validate the Augmented Stage-Gate framework, yet their success is not entirely guaranteed due to external factors like regulatory constraints, entrepreneur characteristics, timing, and the necessary ecosystem or infrastructure, particularly in emerging markets. These factors should be taken into account for future research purposes.","author":[{"dropping-particle":"","family":"Kruachottikul","given":"Pravee","non-dropping-particle":"","parse-names":false,"suffix":""},{"dropping-particle":"","family":"Dumrongvute","given":"Poomsiri","non-dropping-particle":"","parse-names":false,"suffix":""},{"dropping-particle":"","family":"Tea-makorn","given":"Pinnaree","non-dropping-particle":"","parse-names":false,"suffix":""},{"dropping-particle":"","family":"Kittikowit","given":"Santhaya","non-dropping-particle":"","parse-names":false,"suffix":""},{"dropping-particle":"","family":"Amrapala","given":"Arisara","non-dropping-particle":"","parse-names":false,"suffix":""}],"container-title":"Journal of Innovation and Entrepreneurship","id":"ITEM-2","issue":"1","issued":{"date-parts":[["2023"]]},"page":"1-25","publisher":"Springer Berlin Heidelberg","title":"New product development process and case studies for deep-tech academic research to commercialization","type":"article-journal","volume":"12"},"uris":["http://www.mendeley.com/documents/?uuid=adb5b5c1-564d-47b3-9808-ddb555c6c728"]}],"mendeley":{"formattedCitation":"(Kruachottikul et al., 2023; Vidal-Jove et al., 2022)","plainTextFormattedCitation":"(Kruachottikul et al., 2023; Vidal-Jove et al., 2022)","previouslyFormattedCitation":"(Kruachottikul et al., 2023; Vidal-Jove et al., 2022)"},"properties":{"noteIndex":0},"schema":"https://github.com/citation-style-language/schema/raw/master/csl-citation.json"}</w:instrText>
      </w:r>
      <w:r w:rsidR="001A47B9">
        <w:rPr>
          <w:rFonts w:ascii="Book Antiqua" w:hAnsi="Book Antiqua"/>
          <w:sz w:val="24"/>
          <w:szCs w:val="24"/>
        </w:rPr>
        <w:fldChar w:fldCharType="separate"/>
      </w:r>
      <w:r w:rsidR="001A47B9" w:rsidRPr="001A47B9">
        <w:rPr>
          <w:rFonts w:ascii="Book Antiqua" w:hAnsi="Book Antiqua"/>
          <w:noProof/>
          <w:sz w:val="24"/>
          <w:szCs w:val="24"/>
        </w:rPr>
        <w:t>(Kruachottikul et al., 2023; Vidal-Jove et al., 2022)</w:t>
      </w:r>
      <w:r w:rsidR="001A47B9">
        <w:rPr>
          <w:rFonts w:ascii="Book Antiqua" w:hAnsi="Book Antiqua"/>
          <w:sz w:val="24"/>
          <w:szCs w:val="24"/>
        </w:rPr>
        <w:fldChar w:fldCharType="end"/>
      </w:r>
      <w:r w:rsidRPr="00EF0129">
        <w:rPr>
          <w:rFonts w:ascii="Book Antiqua" w:hAnsi="Book Antiqua"/>
          <w:sz w:val="24"/>
          <w:szCs w:val="24"/>
        </w:rPr>
        <w:t>. The guidance counselor awarded 47 out of 50 points, equivalent to 94%, which placed the product in the highly practical category. The counselor considered the medium easy to prepare, engaging, and relevant to classical guidance needs.</w:t>
      </w:r>
    </w:p>
    <w:p w14:paraId="066F5F39" w14:textId="77777777" w:rsidR="006F5AF4" w:rsidRPr="00EF0129" w:rsidRDefault="006F5AF4" w:rsidP="00EF0129">
      <w:pPr>
        <w:pStyle w:val="NoSpacing"/>
        <w:jc w:val="both"/>
        <w:rPr>
          <w:rFonts w:ascii="Book Antiqua" w:hAnsi="Book Antiqua"/>
          <w:sz w:val="24"/>
          <w:szCs w:val="24"/>
        </w:rPr>
      </w:pPr>
    </w:p>
    <w:p w14:paraId="2207B251" w14:textId="77777777" w:rsidR="00E33B67" w:rsidRDefault="00E33B67" w:rsidP="006F5AF4">
      <w:pPr>
        <w:pStyle w:val="NoSpacing"/>
        <w:jc w:val="center"/>
        <w:rPr>
          <w:rFonts w:ascii="Book Antiqua" w:hAnsi="Book Antiqua"/>
          <w:b/>
          <w:sz w:val="24"/>
          <w:szCs w:val="24"/>
        </w:rPr>
      </w:pPr>
      <w:r w:rsidRPr="00EF0129">
        <w:rPr>
          <w:rFonts w:ascii="Book Antiqua" w:hAnsi="Book Antiqua"/>
          <w:b/>
          <w:sz w:val="24"/>
          <w:szCs w:val="24"/>
        </w:rPr>
        <w:t>Table 6. Guidance Counselor Practicality Results</w:t>
      </w:r>
    </w:p>
    <w:tbl>
      <w:tblPr>
        <w:tblStyle w:val="PlainTable21"/>
        <w:tblW w:w="0" w:type="auto"/>
        <w:tblInd w:w="1384" w:type="dxa"/>
        <w:tblLook w:val="0720" w:firstRow="1" w:lastRow="0" w:firstColumn="0" w:lastColumn="1" w:noHBand="1" w:noVBand="1"/>
      </w:tblPr>
      <w:tblGrid>
        <w:gridCol w:w="1668"/>
        <w:gridCol w:w="1842"/>
        <w:gridCol w:w="1276"/>
        <w:gridCol w:w="1701"/>
      </w:tblGrid>
      <w:tr w:rsidR="00E33B67" w:rsidRPr="00EF0129" w14:paraId="405BDF3C" w14:textId="77777777" w:rsidTr="00D9697C">
        <w:trPr>
          <w:cnfStyle w:val="100000000000" w:firstRow="1" w:lastRow="0" w:firstColumn="0" w:lastColumn="0" w:oddVBand="0" w:evenVBand="0" w:oddHBand="0" w:evenHBand="0" w:firstRowFirstColumn="0" w:firstRowLastColumn="0" w:lastRowFirstColumn="0" w:lastRowLastColumn="0"/>
        </w:trPr>
        <w:tc>
          <w:tcPr>
            <w:tcW w:w="1668" w:type="dxa"/>
          </w:tcPr>
          <w:p w14:paraId="1C509C1A" w14:textId="77777777" w:rsidR="00E33B67" w:rsidRPr="006F5AF4" w:rsidRDefault="00E33B67" w:rsidP="00EF0129">
            <w:pPr>
              <w:pStyle w:val="NoSpacing"/>
              <w:jc w:val="both"/>
              <w:rPr>
                <w:rFonts w:ascii="Book Antiqua" w:hAnsi="Book Antiqua"/>
                <w:sz w:val="20"/>
                <w:szCs w:val="20"/>
              </w:rPr>
            </w:pPr>
            <w:r w:rsidRPr="006F5AF4">
              <w:rPr>
                <w:rFonts w:ascii="Book Antiqua" w:hAnsi="Book Antiqua"/>
                <w:sz w:val="20"/>
                <w:szCs w:val="20"/>
              </w:rPr>
              <w:t>Score Obtained</w:t>
            </w:r>
          </w:p>
        </w:tc>
        <w:tc>
          <w:tcPr>
            <w:tcW w:w="1842" w:type="dxa"/>
          </w:tcPr>
          <w:p w14:paraId="5B8160A5" w14:textId="77777777" w:rsidR="00E33B67" w:rsidRPr="006F5AF4" w:rsidRDefault="00E33B67" w:rsidP="00EF0129">
            <w:pPr>
              <w:pStyle w:val="NoSpacing"/>
              <w:jc w:val="both"/>
              <w:rPr>
                <w:rFonts w:ascii="Book Antiqua" w:hAnsi="Book Antiqua"/>
                <w:sz w:val="20"/>
                <w:szCs w:val="20"/>
              </w:rPr>
            </w:pPr>
            <w:r w:rsidRPr="006F5AF4">
              <w:rPr>
                <w:rFonts w:ascii="Book Antiqua" w:hAnsi="Book Antiqua"/>
                <w:sz w:val="20"/>
                <w:szCs w:val="20"/>
              </w:rPr>
              <w:t>Maximum Score</w:t>
            </w:r>
          </w:p>
        </w:tc>
        <w:tc>
          <w:tcPr>
            <w:tcW w:w="1276" w:type="dxa"/>
          </w:tcPr>
          <w:p w14:paraId="0D65738F" w14:textId="77777777" w:rsidR="00E33B67" w:rsidRPr="006F5AF4" w:rsidRDefault="00E33B67" w:rsidP="00EF0129">
            <w:pPr>
              <w:pStyle w:val="NoSpacing"/>
              <w:jc w:val="both"/>
              <w:rPr>
                <w:rFonts w:ascii="Book Antiqua" w:hAnsi="Book Antiqua"/>
                <w:sz w:val="20"/>
                <w:szCs w:val="20"/>
              </w:rPr>
            </w:pPr>
            <w:r w:rsidRPr="006F5AF4">
              <w:rPr>
                <w:rFonts w:ascii="Book Antiqua" w:hAnsi="Book Antiqua"/>
                <w:sz w:val="20"/>
                <w:szCs w:val="20"/>
              </w:rPr>
              <w:t>Percentage</w:t>
            </w:r>
          </w:p>
        </w:tc>
        <w:tc>
          <w:tcPr>
            <w:cnfStyle w:val="000100000000" w:firstRow="0" w:lastRow="0" w:firstColumn="0" w:lastColumn="1" w:oddVBand="0" w:evenVBand="0" w:oddHBand="0" w:evenHBand="0" w:firstRowFirstColumn="0" w:firstRowLastColumn="0" w:lastRowFirstColumn="0" w:lastRowLastColumn="0"/>
            <w:tcW w:w="1701" w:type="dxa"/>
          </w:tcPr>
          <w:p w14:paraId="080EF1B8" w14:textId="77777777" w:rsidR="00E33B67" w:rsidRPr="006F5AF4" w:rsidRDefault="00E33B67" w:rsidP="00EF0129">
            <w:pPr>
              <w:pStyle w:val="NoSpacing"/>
              <w:jc w:val="both"/>
              <w:rPr>
                <w:rFonts w:ascii="Book Antiqua" w:hAnsi="Book Antiqua"/>
                <w:sz w:val="20"/>
                <w:szCs w:val="20"/>
              </w:rPr>
            </w:pPr>
            <w:r w:rsidRPr="006F5AF4">
              <w:rPr>
                <w:rFonts w:ascii="Book Antiqua" w:hAnsi="Book Antiqua"/>
                <w:sz w:val="20"/>
                <w:szCs w:val="20"/>
              </w:rPr>
              <w:t>Criterion</w:t>
            </w:r>
          </w:p>
        </w:tc>
      </w:tr>
      <w:tr w:rsidR="00E33B67" w:rsidRPr="00EF0129" w14:paraId="4CD13DEA" w14:textId="77777777" w:rsidTr="00D9697C">
        <w:tc>
          <w:tcPr>
            <w:tcW w:w="1668" w:type="dxa"/>
          </w:tcPr>
          <w:p w14:paraId="1F8FCDE7" w14:textId="77777777" w:rsidR="00E33B67" w:rsidRPr="006F5AF4" w:rsidRDefault="00E33B67" w:rsidP="00EF0129">
            <w:pPr>
              <w:pStyle w:val="NoSpacing"/>
              <w:jc w:val="both"/>
              <w:rPr>
                <w:rFonts w:ascii="Book Antiqua" w:hAnsi="Book Antiqua"/>
                <w:sz w:val="20"/>
                <w:szCs w:val="20"/>
              </w:rPr>
            </w:pPr>
            <w:r w:rsidRPr="006F5AF4">
              <w:rPr>
                <w:rFonts w:ascii="Book Antiqua" w:hAnsi="Book Antiqua"/>
                <w:sz w:val="20"/>
                <w:szCs w:val="20"/>
              </w:rPr>
              <w:t>47</w:t>
            </w:r>
          </w:p>
        </w:tc>
        <w:tc>
          <w:tcPr>
            <w:tcW w:w="1842" w:type="dxa"/>
          </w:tcPr>
          <w:p w14:paraId="6ADAC6DF" w14:textId="77777777" w:rsidR="00E33B67" w:rsidRPr="006F5AF4" w:rsidRDefault="00E33B67" w:rsidP="00EF0129">
            <w:pPr>
              <w:pStyle w:val="NoSpacing"/>
              <w:jc w:val="both"/>
              <w:rPr>
                <w:rFonts w:ascii="Book Antiqua" w:hAnsi="Book Antiqua"/>
                <w:sz w:val="20"/>
                <w:szCs w:val="20"/>
              </w:rPr>
            </w:pPr>
            <w:r w:rsidRPr="006F5AF4">
              <w:rPr>
                <w:rFonts w:ascii="Book Antiqua" w:hAnsi="Book Antiqua"/>
                <w:sz w:val="20"/>
                <w:szCs w:val="20"/>
              </w:rPr>
              <w:t>50</w:t>
            </w:r>
          </w:p>
        </w:tc>
        <w:tc>
          <w:tcPr>
            <w:tcW w:w="1276" w:type="dxa"/>
          </w:tcPr>
          <w:p w14:paraId="660C3C71" w14:textId="77777777" w:rsidR="00E33B67" w:rsidRPr="006F5AF4" w:rsidRDefault="00E33B67" w:rsidP="00EF0129">
            <w:pPr>
              <w:pStyle w:val="NoSpacing"/>
              <w:jc w:val="both"/>
              <w:rPr>
                <w:rFonts w:ascii="Book Antiqua" w:hAnsi="Book Antiqua"/>
                <w:sz w:val="20"/>
                <w:szCs w:val="20"/>
              </w:rPr>
            </w:pPr>
            <w:r w:rsidRPr="006F5AF4">
              <w:rPr>
                <w:rFonts w:ascii="Book Antiqua" w:hAnsi="Book Antiqua"/>
                <w:sz w:val="20"/>
                <w:szCs w:val="20"/>
              </w:rPr>
              <w:t>94%</w:t>
            </w:r>
          </w:p>
        </w:tc>
        <w:tc>
          <w:tcPr>
            <w:cnfStyle w:val="000100000000" w:firstRow="0" w:lastRow="0" w:firstColumn="0" w:lastColumn="1" w:oddVBand="0" w:evenVBand="0" w:oddHBand="0" w:evenHBand="0" w:firstRowFirstColumn="0" w:firstRowLastColumn="0" w:lastRowFirstColumn="0" w:lastRowLastColumn="0"/>
            <w:tcW w:w="1701" w:type="dxa"/>
          </w:tcPr>
          <w:p w14:paraId="7E779663" w14:textId="77777777" w:rsidR="00E33B67" w:rsidRPr="006F5AF4" w:rsidRDefault="00E33B67" w:rsidP="00EF0129">
            <w:pPr>
              <w:pStyle w:val="NoSpacing"/>
              <w:jc w:val="both"/>
              <w:rPr>
                <w:rFonts w:ascii="Book Antiqua" w:hAnsi="Book Antiqua"/>
                <w:b w:val="0"/>
                <w:bCs w:val="0"/>
                <w:sz w:val="20"/>
                <w:szCs w:val="20"/>
              </w:rPr>
            </w:pPr>
            <w:r w:rsidRPr="006F5AF4">
              <w:rPr>
                <w:rFonts w:ascii="Book Antiqua" w:hAnsi="Book Antiqua"/>
                <w:b w:val="0"/>
                <w:bCs w:val="0"/>
                <w:sz w:val="20"/>
                <w:szCs w:val="20"/>
              </w:rPr>
              <w:t>Highly practical</w:t>
            </w:r>
          </w:p>
        </w:tc>
      </w:tr>
    </w:tbl>
    <w:p w14:paraId="12410DDB" w14:textId="77777777" w:rsidR="00E33B67" w:rsidRPr="00EF0129" w:rsidRDefault="00E33B67" w:rsidP="00EF0129">
      <w:pPr>
        <w:pStyle w:val="NoSpacing"/>
        <w:jc w:val="both"/>
        <w:rPr>
          <w:rFonts w:ascii="Book Antiqua" w:hAnsi="Book Antiqua"/>
          <w:sz w:val="24"/>
          <w:szCs w:val="24"/>
        </w:rPr>
      </w:pPr>
    </w:p>
    <w:p w14:paraId="64BD47D9" w14:textId="77777777" w:rsidR="00E33B67" w:rsidRDefault="00E33B67" w:rsidP="00EF0129">
      <w:pPr>
        <w:pStyle w:val="NoSpacing"/>
        <w:jc w:val="both"/>
        <w:rPr>
          <w:rFonts w:ascii="Book Antiqua" w:hAnsi="Book Antiqua"/>
          <w:sz w:val="24"/>
          <w:szCs w:val="24"/>
        </w:rPr>
      </w:pPr>
      <w:r w:rsidRPr="00EF0129">
        <w:rPr>
          <w:rFonts w:ascii="Book Antiqua" w:hAnsi="Book Antiqua"/>
          <w:sz w:val="24"/>
          <w:szCs w:val="24"/>
        </w:rPr>
        <w:t>The student response assessment involved 26 participants and produced a practicality percentage of 82.46%, which also fell within the highly practical category. Students generally reported that the game was enjoyable, understandable, and easy to participate in.</w:t>
      </w:r>
    </w:p>
    <w:p w14:paraId="2CFA1653" w14:textId="77777777" w:rsidR="006F5AF4" w:rsidRPr="00EF0129" w:rsidRDefault="006F5AF4" w:rsidP="00EF0129">
      <w:pPr>
        <w:pStyle w:val="NoSpacing"/>
        <w:jc w:val="both"/>
        <w:rPr>
          <w:rFonts w:ascii="Book Antiqua" w:hAnsi="Book Antiqua"/>
          <w:sz w:val="24"/>
          <w:szCs w:val="24"/>
        </w:rPr>
      </w:pPr>
    </w:p>
    <w:p w14:paraId="71128D9D" w14:textId="77777777" w:rsidR="00D9697C" w:rsidRDefault="00D9697C" w:rsidP="006F5AF4">
      <w:pPr>
        <w:pStyle w:val="NoSpacing"/>
        <w:jc w:val="center"/>
        <w:rPr>
          <w:rFonts w:ascii="Book Antiqua" w:hAnsi="Book Antiqua"/>
          <w:b/>
          <w:sz w:val="24"/>
          <w:szCs w:val="24"/>
        </w:rPr>
      </w:pPr>
    </w:p>
    <w:p w14:paraId="0D40163E" w14:textId="77777777" w:rsidR="00D9697C" w:rsidRDefault="00D9697C" w:rsidP="006F5AF4">
      <w:pPr>
        <w:pStyle w:val="NoSpacing"/>
        <w:jc w:val="center"/>
        <w:rPr>
          <w:rFonts w:ascii="Book Antiqua" w:hAnsi="Book Antiqua"/>
          <w:b/>
          <w:sz w:val="24"/>
          <w:szCs w:val="24"/>
        </w:rPr>
      </w:pPr>
    </w:p>
    <w:p w14:paraId="4C7A4000" w14:textId="6FCFAD81" w:rsidR="00E33B67" w:rsidRDefault="00E33B67" w:rsidP="006F5AF4">
      <w:pPr>
        <w:pStyle w:val="NoSpacing"/>
        <w:jc w:val="center"/>
        <w:rPr>
          <w:rFonts w:ascii="Book Antiqua" w:hAnsi="Book Antiqua"/>
          <w:b/>
          <w:sz w:val="24"/>
          <w:szCs w:val="24"/>
        </w:rPr>
      </w:pPr>
      <w:r w:rsidRPr="00EF0129">
        <w:rPr>
          <w:rFonts w:ascii="Book Antiqua" w:hAnsi="Book Antiqua"/>
          <w:b/>
          <w:sz w:val="24"/>
          <w:szCs w:val="24"/>
        </w:rPr>
        <w:lastRenderedPageBreak/>
        <w:t>Table 7. Student Practicality Results</w:t>
      </w:r>
    </w:p>
    <w:tbl>
      <w:tblPr>
        <w:tblStyle w:val="PlainTable21"/>
        <w:tblW w:w="0" w:type="auto"/>
        <w:tblInd w:w="1809" w:type="dxa"/>
        <w:tblBorders>
          <w:top w:val="single" w:sz="4" w:space="0" w:color="auto"/>
          <w:bottom w:val="single" w:sz="4" w:space="0" w:color="auto"/>
        </w:tblBorders>
        <w:tblLook w:val="0720" w:firstRow="1" w:lastRow="0" w:firstColumn="0" w:lastColumn="1" w:noHBand="1" w:noVBand="1"/>
      </w:tblPr>
      <w:tblGrid>
        <w:gridCol w:w="2660"/>
        <w:gridCol w:w="1417"/>
        <w:gridCol w:w="1735"/>
      </w:tblGrid>
      <w:tr w:rsidR="00E33B67" w:rsidRPr="00EF0129" w14:paraId="198F3C15" w14:textId="77777777" w:rsidTr="00D9697C">
        <w:trPr>
          <w:cnfStyle w:val="100000000000" w:firstRow="1" w:lastRow="0" w:firstColumn="0" w:lastColumn="0" w:oddVBand="0" w:evenVBand="0" w:oddHBand="0" w:evenHBand="0" w:firstRowFirstColumn="0" w:firstRowLastColumn="0" w:lastRowFirstColumn="0" w:lastRowLastColumn="0"/>
        </w:trPr>
        <w:tc>
          <w:tcPr>
            <w:tcW w:w="2660" w:type="dxa"/>
            <w:tcBorders>
              <w:top w:val="single" w:sz="4" w:space="0" w:color="auto"/>
              <w:bottom w:val="single" w:sz="4" w:space="0" w:color="auto"/>
            </w:tcBorders>
          </w:tcPr>
          <w:p w14:paraId="08F6169F" w14:textId="77777777" w:rsidR="00E33B67" w:rsidRPr="006F5AF4" w:rsidRDefault="00E33B67" w:rsidP="00EF0129">
            <w:pPr>
              <w:pStyle w:val="NoSpacing"/>
              <w:jc w:val="both"/>
              <w:rPr>
                <w:rFonts w:ascii="Book Antiqua" w:hAnsi="Book Antiqua"/>
                <w:sz w:val="20"/>
                <w:szCs w:val="20"/>
              </w:rPr>
            </w:pPr>
            <w:r w:rsidRPr="006F5AF4">
              <w:rPr>
                <w:rFonts w:ascii="Book Antiqua" w:hAnsi="Book Antiqua"/>
                <w:sz w:val="20"/>
                <w:szCs w:val="20"/>
              </w:rPr>
              <w:t>Number of Respondents</w:t>
            </w:r>
          </w:p>
        </w:tc>
        <w:tc>
          <w:tcPr>
            <w:tcW w:w="1417" w:type="dxa"/>
            <w:tcBorders>
              <w:top w:val="single" w:sz="4" w:space="0" w:color="auto"/>
              <w:bottom w:val="single" w:sz="4" w:space="0" w:color="auto"/>
            </w:tcBorders>
          </w:tcPr>
          <w:p w14:paraId="63CE8456" w14:textId="77777777" w:rsidR="00E33B67" w:rsidRPr="006F5AF4" w:rsidRDefault="00E33B67" w:rsidP="00EF0129">
            <w:pPr>
              <w:pStyle w:val="NoSpacing"/>
              <w:jc w:val="both"/>
              <w:rPr>
                <w:rFonts w:ascii="Book Antiqua" w:hAnsi="Book Antiqua"/>
                <w:sz w:val="20"/>
                <w:szCs w:val="20"/>
              </w:rPr>
            </w:pPr>
            <w:r w:rsidRPr="006F5AF4">
              <w:rPr>
                <w:rFonts w:ascii="Book Antiqua" w:hAnsi="Book Antiqua"/>
                <w:sz w:val="20"/>
                <w:szCs w:val="20"/>
              </w:rPr>
              <w:t>Percentage</w:t>
            </w:r>
          </w:p>
        </w:tc>
        <w:tc>
          <w:tcPr>
            <w:cnfStyle w:val="000100000000" w:firstRow="0" w:lastRow="0" w:firstColumn="0" w:lastColumn="1" w:oddVBand="0" w:evenVBand="0" w:oddHBand="0" w:evenHBand="0" w:firstRowFirstColumn="0" w:firstRowLastColumn="0" w:lastRowFirstColumn="0" w:lastRowLastColumn="0"/>
            <w:tcW w:w="1735" w:type="dxa"/>
            <w:tcBorders>
              <w:top w:val="single" w:sz="4" w:space="0" w:color="auto"/>
              <w:bottom w:val="single" w:sz="4" w:space="0" w:color="auto"/>
            </w:tcBorders>
          </w:tcPr>
          <w:p w14:paraId="04B7C863" w14:textId="77777777" w:rsidR="00E33B67" w:rsidRPr="006F5AF4" w:rsidRDefault="00E33B67" w:rsidP="00EF0129">
            <w:pPr>
              <w:pStyle w:val="NoSpacing"/>
              <w:jc w:val="both"/>
              <w:rPr>
                <w:rFonts w:ascii="Book Antiqua" w:hAnsi="Book Antiqua"/>
                <w:sz w:val="20"/>
                <w:szCs w:val="20"/>
              </w:rPr>
            </w:pPr>
            <w:r w:rsidRPr="006F5AF4">
              <w:rPr>
                <w:rFonts w:ascii="Book Antiqua" w:hAnsi="Book Antiqua"/>
                <w:sz w:val="20"/>
                <w:szCs w:val="20"/>
              </w:rPr>
              <w:t>Criterion</w:t>
            </w:r>
          </w:p>
        </w:tc>
      </w:tr>
      <w:tr w:rsidR="00E33B67" w:rsidRPr="00EF0129" w14:paraId="46F79959" w14:textId="77777777" w:rsidTr="00D9697C">
        <w:tc>
          <w:tcPr>
            <w:tcW w:w="2660" w:type="dxa"/>
            <w:tcBorders>
              <w:top w:val="single" w:sz="4" w:space="0" w:color="auto"/>
            </w:tcBorders>
          </w:tcPr>
          <w:p w14:paraId="2700BB5C" w14:textId="77777777" w:rsidR="00E33B67" w:rsidRPr="006F5AF4" w:rsidRDefault="00E33B67" w:rsidP="00EF0129">
            <w:pPr>
              <w:pStyle w:val="NoSpacing"/>
              <w:jc w:val="both"/>
              <w:rPr>
                <w:rFonts w:ascii="Book Antiqua" w:hAnsi="Book Antiqua"/>
                <w:sz w:val="20"/>
                <w:szCs w:val="20"/>
              </w:rPr>
            </w:pPr>
            <w:r w:rsidRPr="006F5AF4">
              <w:rPr>
                <w:rFonts w:ascii="Book Antiqua" w:hAnsi="Book Antiqua"/>
                <w:sz w:val="20"/>
                <w:szCs w:val="20"/>
              </w:rPr>
              <w:t>26</w:t>
            </w:r>
          </w:p>
        </w:tc>
        <w:tc>
          <w:tcPr>
            <w:tcW w:w="1417" w:type="dxa"/>
            <w:tcBorders>
              <w:top w:val="single" w:sz="4" w:space="0" w:color="auto"/>
            </w:tcBorders>
          </w:tcPr>
          <w:p w14:paraId="62208812" w14:textId="77777777" w:rsidR="00E33B67" w:rsidRPr="006F5AF4" w:rsidRDefault="00E33B67" w:rsidP="00EF0129">
            <w:pPr>
              <w:pStyle w:val="NoSpacing"/>
              <w:jc w:val="both"/>
              <w:rPr>
                <w:rFonts w:ascii="Book Antiqua" w:hAnsi="Book Antiqua"/>
                <w:sz w:val="20"/>
                <w:szCs w:val="20"/>
              </w:rPr>
            </w:pPr>
            <w:r w:rsidRPr="006F5AF4">
              <w:rPr>
                <w:rFonts w:ascii="Book Antiqua" w:hAnsi="Book Antiqua"/>
                <w:sz w:val="20"/>
                <w:szCs w:val="20"/>
              </w:rPr>
              <w:t>82.46%</w:t>
            </w:r>
          </w:p>
        </w:tc>
        <w:tc>
          <w:tcPr>
            <w:cnfStyle w:val="000100000000" w:firstRow="0" w:lastRow="0" w:firstColumn="0" w:lastColumn="1" w:oddVBand="0" w:evenVBand="0" w:oddHBand="0" w:evenHBand="0" w:firstRowFirstColumn="0" w:firstRowLastColumn="0" w:lastRowFirstColumn="0" w:lastRowLastColumn="0"/>
            <w:tcW w:w="1735" w:type="dxa"/>
            <w:tcBorders>
              <w:top w:val="single" w:sz="4" w:space="0" w:color="auto"/>
            </w:tcBorders>
          </w:tcPr>
          <w:p w14:paraId="1510F79A" w14:textId="77777777" w:rsidR="00E33B67" w:rsidRPr="006F5AF4" w:rsidRDefault="00E33B67" w:rsidP="00EF0129">
            <w:pPr>
              <w:pStyle w:val="NoSpacing"/>
              <w:jc w:val="both"/>
              <w:rPr>
                <w:rFonts w:ascii="Book Antiqua" w:hAnsi="Book Antiqua"/>
                <w:b w:val="0"/>
                <w:bCs w:val="0"/>
                <w:sz w:val="20"/>
                <w:szCs w:val="20"/>
              </w:rPr>
            </w:pPr>
            <w:r w:rsidRPr="006F5AF4">
              <w:rPr>
                <w:rFonts w:ascii="Book Antiqua" w:hAnsi="Book Antiqua"/>
                <w:b w:val="0"/>
                <w:bCs w:val="0"/>
                <w:sz w:val="20"/>
                <w:szCs w:val="20"/>
              </w:rPr>
              <w:t>Highly practical</w:t>
            </w:r>
          </w:p>
        </w:tc>
      </w:tr>
    </w:tbl>
    <w:p w14:paraId="23C2D356" w14:textId="77777777" w:rsidR="00E33B67" w:rsidRPr="00EF0129" w:rsidRDefault="00E33B67" w:rsidP="00EF0129">
      <w:pPr>
        <w:pStyle w:val="NoSpacing"/>
        <w:jc w:val="both"/>
        <w:rPr>
          <w:rFonts w:ascii="Book Antiqua" w:hAnsi="Book Antiqua"/>
          <w:sz w:val="24"/>
          <w:szCs w:val="24"/>
        </w:rPr>
      </w:pPr>
    </w:p>
    <w:p w14:paraId="1FCAB64D" w14:textId="4F3DDCF6" w:rsidR="00E33B67" w:rsidRDefault="00E33B67" w:rsidP="00D9697C">
      <w:pPr>
        <w:pStyle w:val="NoSpacing"/>
        <w:numPr>
          <w:ilvl w:val="0"/>
          <w:numId w:val="15"/>
        </w:numPr>
        <w:ind w:left="284" w:hanging="284"/>
        <w:jc w:val="both"/>
        <w:rPr>
          <w:rFonts w:ascii="Book Antiqua" w:hAnsi="Book Antiqua"/>
          <w:b/>
          <w:sz w:val="24"/>
          <w:szCs w:val="24"/>
        </w:rPr>
      </w:pPr>
      <w:r w:rsidRPr="00EF0129">
        <w:rPr>
          <w:rFonts w:ascii="Book Antiqua" w:hAnsi="Book Antiqua"/>
          <w:b/>
          <w:sz w:val="24"/>
          <w:szCs w:val="24"/>
        </w:rPr>
        <w:t>Discussion</w:t>
      </w:r>
    </w:p>
    <w:p w14:paraId="35CAA944" w14:textId="77777777" w:rsidR="00696C01" w:rsidRPr="00EF0129" w:rsidRDefault="00696C01" w:rsidP="00EF0129">
      <w:pPr>
        <w:pStyle w:val="NoSpacing"/>
        <w:jc w:val="both"/>
        <w:rPr>
          <w:rFonts w:ascii="Book Antiqua" w:hAnsi="Book Antiqua"/>
          <w:sz w:val="24"/>
          <w:szCs w:val="24"/>
        </w:rPr>
      </w:pPr>
    </w:p>
    <w:p w14:paraId="3EC06C75" w14:textId="04283BF9" w:rsidR="00E33B67" w:rsidRDefault="00E33B67" w:rsidP="00EF0129">
      <w:pPr>
        <w:pStyle w:val="NoSpacing"/>
        <w:jc w:val="both"/>
        <w:rPr>
          <w:rFonts w:ascii="Book Antiqua" w:hAnsi="Book Antiqua"/>
          <w:sz w:val="24"/>
          <w:szCs w:val="24"/>
        </w:rPr>
      </w:pPr>
      <w:r w:rsidRPr="00EF0129">
        <w:rPr>
          <w:rFonts w:ascii="Book Antiqua" w:hAnsi="Book Antiqua"/>
          <w:sz w:val="24"/>
          <w:szCs w:val="24"/>
        </w:rPr>
        <w:t>The findings indicate that the Run Ping-Pong Ball game medium met the validity and practicality criteria required for limited use in classical guidance. The two expert assessments suggest that the product</w:t>
      </w:r>
      <w:r w:rsidR="008018ED">
        <w:rPr>
          <w:rFonts w:ascii="Book Antiqua" w:hAnsi="Book Antiqua"/>
          <w:sz w:val="24"/>
          <w:szCs w:val="24"/>
        </w:rPr>
        <w:t>’</w:t>
      </w:r>
      <w:r w:rsidRPr="00EF0129">
        <w:rPr>
          <w:rFonts w:ascii="Book Antiqua" w:hAnsi="Book Antiqua"/>
          <w:sz w:val="24"/>
          <w:szCs w:val="24"/>
        </w:rPr>
        <w:t>s physical design, instructions, content, and relationship with the service objectives were generally appropriate</w:t>
      </w:r>
      <w:r w:rsidR="00B16898">
        <w:rPr>
          <w:rFonts w:ascii="Book Antiqua" w:hAnsi="Book Antiqua"/>
          <w:sz w:val="24"/>
          <w:szCs w:val="24"/>
        </w:rPr>
        <w:t xml:space="preserve"> </w:t>
      </w:r>
      <w:r w:rsidR="004D4699">
        <w:rPr>
          <w:rFonts w:ascii="Book Antiqua" w:hAnsi="Book Antiqua"/>
          <w:sz w:val="24"/>
          <w:szCs w:val="24"/>
        </w:rPr>
        <w:fldChar w:fldCharType="begin" w:fldLock="1"/>
      </w:r>
      <w:r w:rsidR="009649F8">
        <w:rPr>
          <w:rFonts w:ascii="Book Antiqua" w:hAnsi="Book Antiqua"/>
          <w:sz w:val="24"/>
          <w:szCs w:val="24"/>
        </w:rPr>
        <w:instrText>ADDIN CSL_CITATION {"citationItems":[{"id":"ITEM-1","itemData":{"DOI":"10.1016/j.spc.2023.02.021","ISSN":"23525509","abstract":"Digital product passports have been proposed as a policy instrument to enable decision-making throughout product life cycles in favour of a circular economy. However, due to nascent conceptualisation and weak industrial embeddedness, the contents of such an instrument are a source of uncertainty. Situated in a mechatronics context, this multiple-case study explores the data needs for digital product passports. Extant research reveals seven data clusters: (1) usage and maintenance, (2) product identification, (3) products and materials, (4) guidelines and manuals, (5) supply chain and reverse logistics, (6) environmental data and (7) compliance. To contextualise these clusters, interviews with three original equipment manufacturers (OEMs) as well as their respective customers, service partners, suppliers and third-party recycling companies were conducted. Through a survey, each specific data point was assessed in terms of importance, availability and sensitivity. The findings show differentiating needs for data across these actors, yet the exchange of data and its supporting infrastructure for closing resource loops remain at low maturity. Consequently, policymakers are recommended to roll out digital product passports in gradual stages, while industrial managers should proactively reconfigure data flows to account for decision-making in a reverse supply chain. Future research is encouraged to explore the use of digital product passports for decision-making in other industries.","author":[{"dropping-particle":"","family":"Jensen","given":"Steffen Foldager","non-dropping-particle":"","parse-names":false,"suffix":""},{"dropping-particle":"","family":"Kristensen","given":"Jesper Hemdrup","non-dropping-particle":"","parse-names":false,"suffix":""},{"dropping-particle":"","family":"Adamsen","given":"Sofie","non-dropping-particle":"","parse-names":false,"suffix":""},{"dropping-particle":"","family":"Christensen","given":"Andreas","non-dropping-particle":"","parse-names":false,"suffix":""},{"dropping-particle":"","family":"Waehrens","given":"Brian Vejrum","non-dropping-particle":"","parse-names":false,"suffix":""}],"container-title":"Sustainable Production and Consumption","id":"ITEM-1","issued":{"date-parts":[["2023"]]},"page":"242-255","title":"Digital product passports for a circular economy: Data needs for product life cycle decision-making","type":"article-journal","volume":"37"},"uris":["http://www.mendeley.com/documents/?uuid=4558a686-46d6-4b85-b291-95aad06a7e1a"]},{"id":"ITEM-2","itemData":{"DOI":"10.1007/s00779-021-01582-9","ISSN":"16174917","abstract":"Standardised tools to assess a user’s satisfaction with the experience of using chatbots and conversational agents are currently unavailable. This work describes four studies, including a systematic literature review, with an overall sample of 141 participants in the survey (experts and novices), focus group sessions and testing of chatbots to (i) define attributes to assess the quality of interaction with chatbots and (ii) the designing and piloting a new scale to measure satisfaction after the experience with chatbots. Two instruments were developed: (i) A diagnostic tool in the form of a checklist (BOT-Check). This tool is a development of previous works which can be used reliably to check the quality of a chatbots experience in line with commonplace principles. (ii) A 15-item questionnaire (BOT Usability Scale, BUS-15) with estimated reliability between.76 and.87 distributed in five factors. BUS-15 strongly correlates with UMUX-LITE by enabling designers to consider a broader range of aspects usually not considered in satisfaction tools for non-conversational agents, e.g. conversational efficiency and accessibility, quality of the chatbot’s functionality and so on. Despite the convincing psychometric properties, BUS-15 requires further testing and validation. Designers can use it as a tool to assess products, thus building independent databases for future evaluation of its reliability, validity and sensitivity.","author":[{"dropping-particle":"","family":"Borsci","given":"Simone","non-dropping-particle":"","parse-names":false,"suffix":""},{"dropping-particle":"","family":"Malizia","given":"Alessio","non-dropping-particle":"","parse-names":false,"suffix":""},{"dropping-particle":"","family":"Schmettow","given":"Martin","non-dropping-particle":"","parse-names":false,"suffix":""},{"dropping-particle":"","family":"Velde","given":"Frank","non-dropping-particle":"van der","parse-names":false,"suffix":""},{"dropping-particle":"","family":"Tariverdiyeva","given":"Gunay","non-dropping-particle":"","parse-names":false,"suffix":""},{"dropping-particle":"","family":"Balaji","given":"Divyaa","non-dropping-particle":"","parse-names":false,"suffix":""},{"dropping-particle":"","family":"Chamberlain","given":"Alan","non-dropping-particle":"","parse-names":false,"suffix":""}],"container-title":"Personal and Ubiquitous Computing","id":"ITEM-2","issue":"1","issued":{"date-parts":[["2022"]]},"page":"95-119","publisher":"Personal and Ubiquitous Computing","title":"The Chatbot Usability Scale: the Design and Pilot of a Usability Scale for Interaction with AI-Based Conversational Agents","type":"article-journal","volume":"26"},"uris":["http://www.mendeley.com/documents/?uuid=9c53106a-6b95-4853-b22c-c5a06d9f364b"]}],"mendeley":{"formattedCitation":"(Borsci et al., 2022; Jensen et al., 2023)","plainTextFormattedCitation":"(Borsci et al., 2022; Jensen et al., 2023)","previouslyFormattedCitation":"(Borsci et al., 2022; Jensen et al., 2023)"},"properties":{"noteIndex":0},"schema":"https://github.com/citation-style-language/schema/raw/master/csl-citation.json"}</w:instrText>
      </w:r>
      <w:r w:rsidR="004D4699">
        <w:rPr>
          <w:rFonts w:ascii="Book Antiqua" w:hAnsi="Book Antiqua"/>
          <w:sz w:val="24"/>
          <w:szCs w:val="24"/>
        </w:rPr>
        <w:fldChar w:fldCharType="separate"/>
      </w:r>
      <w:r w:rsidR="004D4699" w:rsidRPr="004D4699">
        <w:rPr>
          <w:rFonts w:ascii="Book Antiqua" w:hAnsi="Book Antiqua"/>
          <w:noProof/>
          <w:sz w:val="24"/>
          <w:szCs w:val="24"/>
        </w:rPr>
        <w:t>(Borsci et al., 2022; Jensen et al., 2023)</w:t>
      </w:r>
      <w:r w:rsidR="004D4699">
        <w:rPr>
          <w:rFonts w:ascii="Book Antiqua" w:hAnsi="Book Antiqua"/>
          <w:sz w:val="24"/>
          <w:szCs w:val="24"/>
        </w:rPr>
        <w:fldChar w:fldCharType="end"/>
      </w:r>
      <w:r w:rsidRPr="00EF0129">
        <w:rPr>
          <w:rFonts w:ascii="Book Antiqua" w:hAnsi="Book Antiqua"/>
          <w:sz w:val="24"/>
          <w:szCs w:val="24"/>
        </w:rPr>
        <w:t>. The guidance counselor and student responses also indicate that the game could be prepared and implemented without excessive difficulty and that the activity was acceptable to its intended users.</w:t>
      </w:r>
    </w:p>
    <w:p w14:paraId="50477483" w14:textId="77777777" w:rsidR="00696C01" w:rsidRPr="00EF0129" w:rsidRDefault="00696C01" w:rsidP="00EF0129">
      <w:pPr>
        <w:pStyle w:val="NoSpacing"/>
        <w:jc w:val="both"/>
        <w:rPr>
          <w:rFonts w:ascii="Book Antiqua" w:hAnsi="Book Antiqua"/>
          <w:sz w:val="24"/>
          <w:szCs w:val="24"/>
        </w:rPr>
      </w:pPr>
    </w:p>
    <w:p w14:paraId="770D9F17" w14:textId="6F4ECEDC" w:rsidR="00E33B67" w:rsidRDefault="00E33B67" w:rsidP="00EF0129">
      <w:pPr>
        <w:pStyle w:val="NoSpacing"/>
        <w:jc w:val="both"/>
        <w:rPr>
          <w:rFonts w:ascii="Book Antiqua" w:hAnsi="Book Antiqua"/>
          <w:sz w:val="24"/>
          <w:szCs w:val="24"/>
        </w:rPr>
      </w:pPr>
      <w:r w:rsidRPr="00EF0129">
        <w:rPr>
          <w:rFonts w:ascii="Book Antiqua" w:hAnsi="Book Antiqua"/>
          <w:sz w:val="24"/>
          <w:szCs w:val="24"/>
        </w:rPr>
        <w:t>The product was developed in response to needs related to attention, short-term recall, concentration, and information retention</w:t>
      </w:r>
      <w:r w:rsidR="00F04814">
        <w:rPr>
          <w:rFonts w:ascii="Book Antiqua" w:hAnsi="Book Antiqua"/>
          <w:sz w:val="24"/>
          <w:szCs w:val="24"/>
        </w:rPr>
        <w:t xml:space="preserve"> </w:t>
      </w:r>
      <w:r w:rsidR="00F04814">
        <w:rPr>
          <w:rFonts w:ascii="Book Antiqua" w:hAnsi="Book Antiqua"/>
          <w:sz w:val="24"/>
          <w:szCs w:val="24"/>
        </w:rPr>
        <w:fldChar w:fldCharType="begin" w:fldLock="1"/>
      </w:r>
      <w:r w:rsidR="002B5B58">
        <w:rPr>
          <w:rFonts w:ascii="Book Antiqua" w:hAnsi="Book Antiqua"/>
          <w:sz w:val="24"/>
          <w:szCs w:val="24"/>
        </w:rPr>
        <w:instrText>ADDIN CSL_CITATION {"citationItems":[{"id":"ITEM-1","itemData":{"DOI":"10.1186/s40359-023-01489-5","ISSN":"20507283","PMID":"38167380","abstract":"Background: Segmentation is a common pedagogical approach in multimedia learning, but its effects on cognitive processes and learning outcomes have yet to be comprehensively explored. Understanding the role of segmentation is crucial, as it has the potential to influence the way instructional materials are designed and delivered in digital learning environments. Objectives: This research aims to fill this gap by examining the impact of segmentation on cognitive load, vocabulary acquisition, retention, and reading comprehension in a multimedia learning context. Methodology: Participants were selected from two language schools in Zhengzhou through a multi-stage random sampling method. Ninety teenage students were randomly assigned to six experimental groups. The study utilized a 2 × 3 factorial design to examine segmentation and textual augmentation effects. Four assessment instruments were employed: a Reading Comprehension Test, a Vocabulary Assessment Test, a Cognitive Load Assessment Scale, and a Prior Knowledge Test. The experiment comprised four stages: pre-test, Instruction, post-test, and follow-up. Data analysis was performed using SPSS 22 software, involving descriptive statistics, one-way, and multi-way analysis of variance. Results: Results indicated that high segmentation significantly impacts cognitive load, vocabulary learning, retention, and reading comprehension across various aspects of multimedia learning. In essence, segmentation reduces cognitive load, supports learning efficiency, and facilitates more profound understanding, vocabulary learning, and retention. Conclusions and implications: High segmentation in multimedia learning significantly impacts cognitive load, vocabulary learning, comprehension, and retention. Educators should prioritize segmentation for more effective and engaging e-learning experiences.","author":[{"dropping-particle":"","family":"Liu","given":"Dongyang","non-dropping-particle":"","parse-names":false,"suffix":""}],"container-title":"BMC Psychology","id":"ITEM-1","issue":"1","issued":{"date-parts":[["2024"]]},"page":"1-12","title":"The effects of segmentation on cognitive load, vocabulary learning and retention, and reading comprehension in a multimedia learning environment","type":"article-journal","volume":"12"},"uris":["http://www.mendeley.com/documents/?uuid=3965484f-3402-4998-b1bc-99af33a3d0a3"]}],"mendeley":{"formattedCitation":"(Liu, 2024)","plainTextFormattedCitation":"(Liu, 2024)","previouslyFormattedCitation":"(Liu, 2024)"},"properties":{"noteIndex":0},"schema":"https://github.com/citation-style-language/schema/raw/master/csl-citation.json"}</w:instrText>
      </w:r>
      <w:r w:rsidR="00F04814">
        <w:rPr>
          <w:rFonts w:ascii="Book Antiqua" w:hAnsi="Book Antiqua"/>
          <w:sz w:val="24"/>
          <w:szCs w:val="24"/>
        </w:rPr>
        <w:fldChar w:fldCharType="separate"/>
      </w:r>
      <w:r w:rsidR="00F04814" w:rsidRPr="00F04814">
        <w:rPr>
          <w:rFonts w:ascii="Book Antiqua" w:hAnsi="Book Antiqua"/>
          <w:noProof/>
          <w:sz w:val="24"/>
          <w:szCs w:val="24"/>
        </w:rPr>
        <w:t>(Liu, 2024)</w:t>
      </w:r>
      <w:r w:rsidR="00F04814">
        <w:rPr>
          <w:rFonts w:ascii="Book Antiqua" w:hAnsi="Book Antiqua"/>
          <w:sz w:val="24"/>
          <w:szCs w:val="24"/>
        </w:rPr>
        <w:fldChar w:fldCharType="end"/>
      </w:r>
      <w:r w:rsidRPr="00EF0129">
        <w:rPr>
          <w:rFonts w:ascii="Book Antiqua" w:hAnsi="Book Antiqua"/>
          <w:sz w:val="24"/>
          <w:szCs w:val="24"/>
        </w:rPr>
        <w:t>. Each major component of the game was connected with one of these needs. Listening to the initial explanation requires focused attention; remembering the route and sequence requires temporary storage; moving while following instructions requires sustained concentration; and recalling the assigned information requires retrieval. This alignment strengthens the educational purpose of the game and distinguishes it from an unstructured recreational activity.</w:t>
      </w:r>
    </w:p>
    <w:p w14:paraId="1D9C489E" w14:textId="77777777" w:rsidR="00696C01" w:rsidRPr="00EF0129" w:rsidRDefault="00696C01" w:rsidP="00EF0129">
      <w:pPr>
        <w:pStyle w:val="NoSpacing"/>
        <w:jc w:val="both"/>
        <w:rPr>
          <w:rFonts w:ascii="Book Antiqua" w:hAnsi="Book Antiqua"/>
          <w:sz w:val="24"/>
          <w:szCs w:val="24"/>
        </w:rPr>
      </w:pPr>
    </w:p>
    <w:p w14:paraId="609D2658" w14:textId="625DEA3D" w:rsidR="00E33B67" w:rsidRDefault="00E33B67" w:rsidP="00EF0129">
      <w:pPr>
        <w:pStyle w:val="NoSpacing"/>
        <w:jc w:val="both"/>
        <w:rPr>
          <w:rFonts w:ascii="Book Antiqua" w:hAnsi="Book Antiqua"/>
          <w:sz w:val="24"/>
          <w:szCs w:val="24"/>
        </w:rPr>
      </w:pPr>
      <w:r w:rsidRPr="00EF0129">
        <w:rPr>
          <w:rFonts w:ascii="Book Antiqua" w:hAnsi="Book Antiqua"/>
          <w:sz w:val="24"/>
          <w:szCs w:val="24"/>
        </w:rPr>
        <w:t>The practical scores may also be explained by the simplicity of the equipment</w:t>
      </w:r>
      <w:r w:rsidR="002C5E9C">
        <w:rPr>
          <w:rFonts w:ascii="Book Antiqua" w:hAnsi="Book Antiqua"/>
          <w:sz w:val="24"/>
          <w:szCs w:val="24"/>
        </w:rPr>
        <w:t xml:space="preserve"> </w:t>
      </w:r>
      <w:r w:rsidR="002C5E9C">
        <w:rPr>
          <w:rFonts w:ascii="Book Antiqua" w:hAnsi="Book Antiqua"/>
          <w:sz w:val="24"/>
          <w:szCs w:val="24"/>
        </w:rPr>
        <w:fldChar w:fldCharType="begin" w:fldLock="1"/>
      </w:r>
      <w:r w:rsidR="00F04814">
        <w:rPr>
          <w:rFonts w:ascii="Book Antiqua" w:hAnsi="Book Antiqua"/>
          <w:sz w:val="24"/>
          <w:szCs w:val="24"/>
        </w:rPr>
        <w:instrText>ADDIN CSL_CITATION {"citationItems":[{"id":"ITEM-1","itemData":{"DOI":"10.1177/2053951720926558","ISSN":"20539517","abstract":"Machine learning models are becoming increasingly prevalent in algorithmic trading and investment management. The spread of machine learning in finance challenges existing practices of modelling and model use and creates a demand for practical solutions for how to manage the complexity pertaining to these techniques. Drawing on interviews with quants applying machine learning techniques to financial problems, the article examines how these people manage model complexity in the process of devising machine learning-powered trading algorithms. The analysis shows that machine learning quants use Ockham’s razor – things should not be multiplied without necessity – as a heuristic tool to prevent excess model complexity and secure a certain level of human control and interpretability in the modelling process. I argue that understanding the way quants handle the complexity of learning models is a key to grasping the transformation of the human’s role in contemporary data and model-driven finance. The study contributes to social studies of finance research on the human–model interplay by exploring it in the context of machine learning model use.","author":[{"dropping-particle":"","family":"Hansen","given":"Kristian Bondo","non-dropping-particle":"","parse-names":false,"suffix":""}],"container-title":"Big Data and Society","id":"ITEM-1","issue":"1","issued":{"date-parts":[["2020"]]},"title":"The virtue of simplicity: On machine learning models in algorithmic trading","type":"article-journal","volume":"7"},"uris":["http://www.mendeley.com/documents/?uuid=dc5f64b0-aaef-4582-bb73-a4360ddccde9"]}],"mendeley":{"formattedCitation":"(Hansen, 2020)","plainTextFormattedCitation":"(Hansen, 2020)","previouslyFormattedCitation":"(Hansen, 2020)"},"properties":{"noteIndex":0},"schema":"https://github.com/citation-style-language/schema/raw/master/csl-citation.json"}</w:instrText>
      </w:r>
      <w:r w:rsidR="002C5E9C">
        <w:rPr>
          <w:rFonts w:ascii="Book Antiqua" w:hAnsi="Book Antiqua"/>
          <w:sz w:val="24"/>
          <w:szCs w:val="24"/>
        </w:rPr>
        <w:fldChar w:fldCharType="separate"/>
      </w:r>
      <w:r w:rsidR="002C5E9C" w:rsidRPr="002C5E9C">
        <w:rPr>
          <w:rFonts w:ascii="Book Antiqua" w:hAnsi="Book Antiqua"/>
          <w:noProof/>
          <w:sz w:val="24"/>
          <w:szCs w:val="24"/>
        </w:rPr>
        <w:t>(Hansen, 2020)</w:t>
      </w:r>
      <w:r w:rsidR="002C5E9C">
        <w:rPr>
          <w:rFonts w:ascii="Book Antiqua" w:hAnsi="Book Antiqua"/>
          <w:sz w:val="24"/>
          <w:szCs w:val="24"/>
        </w:rPr>
        <w:fldChar w:fldCharType="end"/>
      </w:r>
      <w:r w:rsidRPr="00EF0129">
        <w:rPr>
          <w:rFonts w:ascii="Book Antiqua" w:hAnsi="Book Antiqua"/>
          <w:sz w:val="24"/>
          <w:szCs w:val="24"/>
        </w:rPr>
        <w:t>. Ping-pong balls, markers, containers, and a prepared route are relatively easy to obtain and can be adjusted to the available school space. The guidebook provides a sequence that helps the counselor organize the activity consistently. However, practicality may vary across schools depending on class size, available space, student mobility, time allocation, and the counselor</w:t>
      </w:r>
      <w:r w:rsidR="008018ED">
        <w:rPr>
          <w:rFonts w:ascii="Book Antiqua" w:hAnsi="Book Antiqua"/>
          <w:sz w:val="24"/>
          <w:szCs w:val="24"/>
        </w:rPr>
        <w:t>’</w:t>
      </w:r>
      <w:r w:rsidRPr="00EF0129">
        <w:rPr>
          <w:rFonts w:ascii="Book Antiqua" w:hAnsi="Book Antiqua"/>
          <w:sz w:val="24"/>
          <w:szCs w:val="24"/>
        </w:rPr>
        <w:t>s ability to manage an active group.</w:t>
      </w:r>
    </w:p>
    <w:p w14:paraId="3864B552" w14:textId="77777777" w:rsidR="00696C01" w:rsidRPr="00EF0129" w:rsidRDefault="00696C01" w:rsidP="00EF0129">
      <w:pPr>
        <w:pStyle w:val="NoSpacing"/>
        <w:jc w:val="both"/>
        <w:rPr>
          <w:rFonts w:ascii="Book Antiqua" w:hAnsi="Book Antiqua"/>
          <w:sz w:val="24"/>
          <w:szCs w:val="24"/>
        </w:rPr>
      </w:pPr>
    </w:p>
    <w:p w14:paraId="07D4FAE1" w14:textId="118A3542" w:rsidR="00E33B67" w:rsidRPr="00EF0129" w:rsidRDefault="00E33B67" w:rsidP="00EF0129">
      <w:pPr>
        <w:pStyle w:val="NoSpacing"/>
        <w:jc w:val="both"/>
        <w:rPr>
          <w:rFonts w:ascii="Book Antiqua" w:hAnsi="Book Antiqua"/>
          <w:sz w:val="24"/>
          <w:szCs w:val="24"/>
        </w:rPr>
      </w:pPr>
      <w:r w:rsidRPr="00EF0129">
        <w:rPr>
          <w:rFonts w:ascii="Book Antiqua" w:hAnsi="Book Antiqua"/>
          <w:sz w:val="24"/>
          <w:szCs w:val="24"/>
        </w:rPr>
        <w:t>The game reflects an experiential approach because students learn through direct participation rather than explanation alone. They receive instructions, act on them, experience success or error, and discuss the activity afterward. Repetition and retrieval are embedded in the sequence of play. Physical movement may sustain interest, but the movement itself should not be assumed to improve memory automatically. The cognitive value depends on how clearly the instructions, recall tasks, and reflection questions are designed</w:t>
      </w:r>
      <w:r w:rsidR="009649F8">
        <w:rPr>
          <w:rFonts w:ascii="Book Antiqua" w:hAnsi="Book Antiqua"/>
          <w:sz w:val="24"/>
          <w:szCs w:val="24"/>
        </w:rPr>
        <w:t xml:space="preserve"> </w:t>
      </w:r>
      <w:r w:rsidR="00513C04">
        <w:rPr>
          <w:rFonts w:ascii="Book Antiqua" w:hAnsi="Book Antiqua"/>
          <w:sz w:val="24"/>
          <w:szCs w:val="24"/>
        </w:rPr>
        <w:fldChar w:fldCharType="begin" w:fldLock="1"/>
      </w:r>
      <w:r w:rsidR="002C5E9C">
        <w:rPr>
          <w:rFonts w:ascii="Book Antiqua" w:hAnsi="Book Antiqua"/>
          <w:sz w:val="24"/>
          <w:szCs w:val="24"/>
        </w:rPr>
        <w:instrText>ADDIN CSL_CITATION {"citationItems":[{"id":"ITEM-1","itemData":{"DOI":"10.1080/13545701.2020.1749867","ISSN":"14664372","abstract":"This paper discusses the challenges associated with implementing time-use surveys among agricultural households in developing countries and offers advice on best practices for two common measurement methods: stylized questions and time diaries. Using data from Women’s Empowerment in Agriculture Index (WEAI) surveys in Bangladesh and Uganda, it finds that stylized questions do not always produce shorter interviews compared to time diaries, and recall accuracy may depend on the regularity and saliency of the activity and enumerator abilities. The paper suggests that combining promising methodological innovations from other disciplines with mainstream time-use data collection methods would allow capture of both the quantity and quality of time and provide richer insights into gendered time-use patterns. Broadening the scope of time-use research to other aspects of well-being can help identify how time constraints contribute to gender inequality and inform the design of policies and interventions to relieve those constraints. HIGHLIGHTS Time-use surveys are essential for addressing gender disparities, yet little research has compared time-use survey methods in developing countries. Developing country agricultural contexts present unique logistical challenges to time-data collection, including low literacy and unfamiliarity with clock-oriented time. In Bangladesh and Uganda, there are systematic differences between time-use estimates obtained using stylized questions and time diaries. Men and women experience different emotions toward different types of work, and gender gaps exist in the distribution of pleasant and unpleasant activities. Learning from non-economics disciplines, including research on quality of time, leads to richer insights into gendered time-use patterns.","author":[{"dropping-particle":"","family":"Seymour","given":"Greg","non-dropping-particle":"","parse-names":false,"suffix":""},{"dropping-particle":"","family":"Malapit","given":"Hazel","non-dropping-particle":"","parse-names":false,"suffix":""},{"dropping-particle":"","family":"Quisumbing","given":"Agnes","non-dropping-particle":"","parse-names":false,"suffix":""}],"container-title":"Feminist Economics","id":"ITEM-1","issue":"3","issued":{"date-parts":[["2020"]]},"page":"169-199","publisher":"Routledge","title":"Measuring Time Use in Developing Country Agriculture: Evidence from Bangladesh and Uganda","type":"article-journal","volume":"26"},"uris":["http://www.mendeley.com/documents/?uuid=a84c84f0-59f3-4674-a4ee-e8c1f7e3c65a"]},{"id":"ITEM-2","itemData":{"DOI":"10.1186/s40594-022-00337-z","ISSN":"21967822","abstract":"Over 34 years since its conception, research in educational settings has found evidence for the effectiveness of the 5E Instructional Model. Indeed, several studies have reported evidence of a better conceptual understanding of scientific ideas and models, positive effects on general achievement in science, and positive attitudes toward science. In this commentary, we would like to put forward the principles from cognitive sciences on how people learn which may underlie the 5E Model and that could theoretically contribute to the model’s effectiveness as a learning sequence. Connections to conceptual change theory are especially highlighted.","author":[{"dropping-particle":"","family":"Ruiz-Martín","given":"Héctor","non-dropping-particle":"","parse-names":false,"suffix":""},{"dropping-particle":"","family":"Bybee","given":"Rodger W.","non-dropping-particle":"","parse-names":false,"suffix":""}],"container-title":"International Journal of STEM Education","id":"ITEM-2","issue":"1","issued":{"date-parts":[["2022"]]},"publisher":"Springer International Publishing","title":"The cognitive principles of learning underlying the 5E Model of Instruction","type":"article-journal","volume":"9"},"uris":["http://www.mendeley.com/documents/?uuid=1e754b41-dca7-4c02-936e-e0faa668b689"]}],"mendeley":{"formattedCitation":"(Ruiz-Martín &amp; Bybee, 2022; Seymour et al., 2020)","plainTextFormattedCitation":"(Ruiz-Martín &amp; Bybee, 2022; Seymour et al., 2020)","previouslyFormattedCitation":"(Ruiz-Martín &amp; Bybee, 2022; Seymour et al., 2020)"},"properties":{"noteIndex":0},"schema":"https://github.com/citation-style-language/schema/raw/master/csl-citation.json"}</w:instrText>
      </w:r>
      <w:r w:rsidR="00513C04">
        <w:rPr>
          <w:rFonts w:ascii="Book Antiqua" w:hAnsi="Book Antiqua"/>
          <w:sz w:val="24"/>
          <w:szCs w:val="24"/>
        </w:rPr>
        <w:fldChar w:fldCharType="separate"/>
      </w:r>
      <w:r w:rsidR="00513C04" w:rsidRPr="00513C04">
        <w:rPr>
          <w:rFonts w:ascii="Book Antiqua" w:hAnsi="Book Antiqua"/>
          <w:noProof/>
          <w:sz w:val="24"/>
          <w:szCs w:val="24"/>
        </w:rPr>
        <w:t>(Ruiz-Martín &amp; Bybee, 2022; Seymour et al., 2020)</w:t>
      </w:r>
      <w:r w:rsidR="00513C04">
        <w:rPr>
          <w:rFonts w:ascii="Book Antiqua" w:hAnsi="Book Antiqua"/>
          <w:sz w:val="24"/>
          <w:szCs w:val="24"/>
        </w:rPr>
        <w:fldChar w:fldCharType="end"/>
      </w:r>
      <w:r w:rsidRPr="00EF0129">
        <w:rPr>
          <w:rFonts w:ascii="Book Antiqua" w:hAnsi="Book Antiqua"/>
          <w:sz w:val="24"/>
          <w:szCs w:val="24"/>
        </w:rPr>
        <w:t>.</w:t>
      </w:r>
    </w:p>
    <w:p w14:paraId="647BB3CC" w14:textId="77777777" w:rsidR="009649F8" w:rsidRDefault="009649F8" w:rsidP="00EF0129">
      <w:pPr>
        <w:pStyle w:val="NoSpacing"/>
        <w:jc w:val="both"/>
        <w:rPr>
          <w:rFonts w:ascii="Book Antiqua" w:hAnsi="Book Antiqua"/>
          <w:sz w:val="24"/>
          <w:szCs w:val="24"/>
        </w:rPr>
      </w:pPr>
    </w:p>
    <w:p w14:paraId="10A9355A" w14:textId="1941FA16" w:rsidR="00E33B67" w:rsidRDefault="00E33B67" w:rsidP="00EF0129">
      <w:pPr>
        <w:pStyle w:val="NoSpacing"/>
        <w:jc w:val="both"/>
        <w:rPr>
          <w:rFonts w:ascii="Book Antiqua" w:hAnsi="Book Antiqua"/>
          <w:sz w:val="24"/>
          <w:szCs w:val="24"/>
        </w:rPr>
      </w:pPr>
      <w:r w:rsidRPr="00EF0129">
        <w:rPr>
          <w:rFonts w:ascii="Book Antiqua" w:hAnsi="Book Antiqua"/>
          <w:sz w:val="24"/>
          <w:szCs w:val="24"/>
        </w:rPr>
        <w:t>The high validity and practicality percentages should be interpreted cautiously</w:t>
      </w:r>
      <w:r w:rsidR="002B5B58">
        <w:rPr>
          <w:rFonts w:ascii="Book Antiqua" w:hAnsi="Book Antiqua"/>
          <w:sz w:val="24"/>
          <w:szCs w:val="24"/>
        </w:rPr>
        <w:t xml:space="preserve"> </w:t>
      </w:r>
      <w:r w:rsidR="002B5B58">
        <w:rPr>
          <w:rFonts w:ascii="Book Antiqua" w:hAnsi="Book Antiqua"/>
          <w:sz w:val="24"/>
          <w:szCs w:val="24"/>
        </w:rPr>
        <w:fldChar w:fldCharType="begin" w:fldLock="1"/>
      </w:r>
      <w:r w:rsidR="002B5B58">
        <w:rPr>
          <w:rFonts w:ascii="Book Antiqua" w:hAnsi="Book Antiqua"/>
          <w:sz w:val="24"/>
          <w:szCs w:val="24"/>
        </w:rPr>
        <w:instrText>ADDIN CSL_CITATION {"citationItems":[{"id":"ITEM-1","itemData":{"DOI":"10.1177/1745691620958012","ISSN":"17456924","PMID":"33560174","abstract":"Because of the strong overreliance on p values in the scientific literature, some researchers have argued that we need to move beyond p values and embrace practical alternatives. When proposing alternatives to p values statisticians often commit the “statistician’s fallacy,” whereby they declare which statistic researchers really “want to know.” Instead of telling researchers what they want to know, statisticians should teach researchers which questions they can ask. In some situations, the answer to the question they are most interested in will be the p value. As long as null-hypothesis tests have been criticized, researchers have suggested including minimum-effect tests and equivalence tests in our statistical toolbox, and these tests have the potential to greatly improve the questions researchers ask. If anyone believes p values affect the quality of scientific research, preventing the misinterpretation of p values by developing better evidence-based education and user-centered statistical software should be a top priority. Polarized discussions about which statistic scientists should use has distracted us from examining more important questions, such as asking researchers what they want to know when they conduct scientific research. Before we can improve our statistical inferences, we need to improve our statistical questions.","author":[{"dropping-particle":"","family":"Lakens","given":"Daniël","non-dropping-particle":"","parse-names":false,"suffix":""}],"container-title":"Perspectives on Psychological Science","id":"ITEM-1","issue":"3","issued":{"date-parts":[["2021"]]},"page":"639-648","title":"The Practical Alternative to the p Value Is the Correctly Used p Value","type":"article-journal","volume":"16"},"uris":["http://www.mendeley.com/documents/?uuid=81c27294-43b7-4bc1-86af-d5f64d8c31d1"]}],"mendeley":{"formattedCitation":"(Lakens, 2021)","plainTextFormattedCitation":"(Lakens, 2021)"},"properties":{"noteIndex":0},"schema":"https://github.com/citation-style-language/schema/raw/master/csl-citation.json"}</w:instrText>
      </w:r>
      <w:r w:rsidR="002B5B58">
        <w:rPr>
          <w:rFonts w:ascii="Book Antiqua" w:hAnsi="Book Antiqua"/>
          <w:sz w:val="24"/>
          <w:szCs w:val="24"/>
        </w:rPr>
        <w:fldChar w:fldCharType="separate"/>
      </w:r>
      <w:r w:rsidR="002B5B58" w:rsidRPr="002B5B58">
        <w:rPr>
          <w:rFonts w:ascii="Book Antiqua" w:hAnsi="Book Antiqua"/>
          <w:noProof/>
          <w:sz w:val="24"/>
          <w:szCs w:val="24"/>
        </w:rPr>
        <w:t>(Lakens, 2021)</w:t>
      </w:r>
      <w:r w:rsidR="002B5B58">
        <w:rPr>
          <w:rFonts w:ascii="Book Antiqua" w:hAnsi="Book Antiqua"/>
          <w:sz w:val="24"/>
          <w:szCs w:val="24"/>
        </w:rPr>
        <w:fldChar w:fldCharType="end"/>
      </w:r>
      <w:r w:rsidRPr="00EF0129">
        <w:rPr>
          <w:rFonts w:ascii="Book Antiqua" w:hAnsi="Book Antiqua"/>
          <w:sz w:val="24"/>
          <w:szCs w:val="24"/>
        </w:rPr>
        <w:t xml:space="preserve">. The study assessed product feasibility and user responses, not improvement in memory performance. No pretest, posttest, control group, standardized memory measure, or delayed assessment was used. Therefore, </w:t>
      </w:r>
      <w:r w:rsidRPr="00EF0129">
        <w:rPr>
          <w:rFonts w:ascii="Book Antiqua" w:hAnsi="Book Antiqua"/>
          <w:sz w:val="24"/>
          <w:szCs w:val="24"/>
        </w:rPr>
        <w:lastRenderedPageBreak/>
        <w:t>statements that the game is effective in increasing memory would exceed the available evidence. The present results support only the conclusion that the medium is sufficiently valid and practical for further testing</w:t>
      </w:r>
      <w:r w:rsidR="009649F8">
        <w:rPr>
          <w:rFonts w:ascii="Book Antiqua" w:hAnsi="Book Antiqua"/>
          <w:sz w:val="24"/>
          <w:szCs w:val="24"/>
        </w:rPr>
        <w:t xml:space="preserve"> </w:t>
      </w:r>
      <w:r w:rsidR="009649F8">
        <w:rPr>
          <w:rFonts w:ascii="Book Antiqua" w:hAnsi="Book Antiqua"/>
          <w:sz w:val="24"/>
          <w:szCs w:val="24"/>
        </w:rPr>
        <w:fldChar w:fldCharType="begin" w:fldLock="1"/>
      </w:r>
      <w:r w:rsidR="009649F8">
        <w:rPr>
          <w:rFonts w:ascii="Book Antiqua" w:hAnsi="Book Antiqua"/>
          <w:sz w:val="24"/>
          <w:szCs w:val="24"/>
        </w:rPr>
        <w:instrText>ADDIN CSL_CITATION {"citationItems":[{"id":"ITEM-1","itemData":{"DOI":"10.1177/0956797620939054","ISSN":"14679280","PMID":"32603243","abstract":"Across two studies with more than 1,700 U.S. adults recruited online, we present evidence that people share false claims about COVID-19 partly because they simply fail to think sufficiently about whether or not the content is accurate when deciding what to share. In Study 1, participants were far worse at discerning between true and false content when deciding what they would share on social media relative to when they were asked directly about accuracy. Furthermore, greater cognitive reflection and science knowledge were associated with stronger discernment. In Study 2, we found that a simple accuracy reminder at the beginning of the study (i.e., judging the accuracy of a non-COVID-19-related headline) nearly tripled the level of truth discernment in participants’ subsequent sharing intentions. Our results, which mirror those found previously for political fake news, suggest that nudging people to think about accuracy is a simple way to improve choices about what to share on social media.","author":[{"dropping-particle":"","family":"Pennycook","given":"Gordon","non-dropping-particle":"","parse-names":false,"suffix":""},{"dropping-particle":"","family":"McPhetres","given":"Jonathon","non-dropping-particle":"","parse-names":false,"suffix":""},{"dropping-particle":"","family":"Zhang","given":"Yunhao","non-dropping-particle":"","parse-names":false,"suffix":""},{"dropping-particle":"","family":"Lu","given":"Jackson G.","non-dropping-particle":"","parse-names":false,"suffix":""},{"dropping-particle":"","family":"Rand","given":"David G.","non-dropping-particle":"","parse-names":false,"suffix":""}],"container-title":"Psychological Science","id":"ITEM-1","issue":"7","issued":{"date-parts":[["2020"]]},"page":"770-780","title":"Fighting COVID-19 Misinformation on Social Media: Experimental Evidence for a Scalable Accuracy-Nudge Intervention","type":"article-journal","volume":"31"},"uris":["http://www.mendeley.com/documents/?uuid=dc62e384-b8ed-47ff-a33e-0416fe53b67c"]}],"mendeley":{"formattedCitation":"(Pennycook et al., 2020)","plainTextFormattedCitation":"(Pennycook et al., 2020)","previouslyFormattedCitation":"(Pennycook et al., 2020)"},"properties":{"noteIndex":0},"schema":"https://github.com/citation-style-language/schema/raw/master/csl-citation.json"}</w:instrText>
      </w:r>
      <w:r w:rsidR="009649F8">
        <w:rPr>
          <w:rFonts w:ascii="Book Antiqua" w:hAnsi="Book Antiqua"/>
          <w:sz w:val="24"/>
          <w:szCs w:val="24"/>
        </w:rPr>
        <w:fldChar w:fldCharType="separate"/>
      </w:r>
      <w:r w:rsidR="009649F8" w:rsidRPr="009649F8">
        <w:rPr>
          <w:rFonts w:ascii="Book Antiqua" w:hAnsi="Book Antiqua"/>
          <w:noProof/>
          <w:sz w:val="24"/>
          <w:szCs w:val="24"/>
        </w:rPr>
        <w:t>(Pennycook et al., 2020)</w:t>
      </w:r>
      <w:r w:rsidR="009649F8">
        <w:rPr>
          <w:rFonts w:ascii="Book Antiqua" w:hAnsi="Book Antiqua"/>
          <w:sz w:val="24"/>
          <w:szCs w:val="24"/>
        </w:rPr>
        <w:fldChar w:fldCharType="end"/>
      </w:r>
      <w:r w:rsidRPr="00EF0129">
        <w:rPr>
          <w:rFonts w:ascii="Book Antiqua" w:hAnsi="Book Antiqua"/>
          <w:sz w:val="24"/>
          <w:szCs w:val="24"/>
        </w:rPr>
        <w:t>.</w:t>
      </w:r>
    </w:p>
    <w:p w14:paraId="59D58A0A" w14:textId="77777777" w:rsidR="00696C01" w:rsidRPr="00EF0129" w:rsidRDefault="00696C01" w:rsidP="00EF0129">
      <w:pPr>
        <w:pStyle w:val="NoSpacing"/>
        <w:jc w:val="both"/>
        <w:rPr>
          <w:rFonts w:ascii="Book Antiqua" w:hAnsi="Book Antiqua"/>
          <w:sz w:val="24"/>
          <w:szCs w:val="24"/>
        </w:rPr>
      </w:pPr>
    </w:p>
    <w:p w14:paraId="4670663B" w14:textId="4A2F9464" w:rsidR="00E33B67" w:rsidRDefault="00E33B67" w:rsidP="00EF0129">
      <w:pPr>
        <w:pStyle w:val="NoSpacing"/>
        <w:jc w:val="both"/>
        <w:rPr>
          <w:rFonts w:ascii="Book Antiqua" w:hAnsi="Book Antiqua"/>
          <w:sz w:val="24"/>
          <w:szCs w:val="24"/>
        </w:rPr>
      </w:pPr>
      <w:r w:rsidRPr="00EF0129">
        <w:rPr>
          <w:rFonts w:ascii="Book Antiqua" w:hAnsi="Book Antiqua"/>
          <w:sz w:val="24"/>
          <w:szCs w:val="24"/>
        </w:rPr>
        <w:t>For guidance counselors, the product offers an alternative to lecture-dominated classical services. It may be used as an opening activity, a structured memory exercise, or part of a broader learning-skills program. Implementation should begin with safety instructions, a demonstration, and clear role assignments. After the game, the counselor should guide reflection on attention, strategies for remembering instructions, sources of distraction, and ways to apply the experience to classroom learning</w:t>
      </w:r>
      <w:r w:rsidR="009649F8">
        <w:rPr>
          <w:rFonts w:ascii="Book Antiqua" w:hAnsi="Book Antiqua"/>
          <w:sz w:val="24"/>
          <w:szCs w:val="24"/>
        </w:rPr>
        <w:t xml:space="preserve"> </w:t>
      </w:r>
      <w:r w:rsidR="009649F8">
        <w:rPr>
          <w:rFonts w:ascii="Book Antiqua" w:hAnsi="Book Antiqua"/>
          <w:sz w:val="24"/>
          <w:szCs w:val="24"/>
        </w:rPr>
        <w:fldChar w:fldCharType="begin" w:fldLock="1"/>
      </w:r>
      <w:r w:rsidR="009649F8">
        <w:rPr>
          <w:rFonts w:ascii="Book Antiqua" w:hAnsi="Book Antiqua"/>
          <w:sz w:val="24"/>
          <w:szCs w:val="24"/>
        </w:rPr>
        <w:instrText>ADDIN CSL_CITATION {"citationItems":[{"id":"ITEM-1","itemData":{"DOI":"10.1080/10888691.2018.1537791","ISSN":"1532480X","abstract":"This article draws out the implications for school and classroom practices of an emerging consensus about the science of learning and development, outlined in a recent synthesis of the research. Situating the review in a developmental systems framework, we synthesize evidence from the learning sciences and several branches of educational research regarding well-vetted strategies that support the kinds of relationships and learning opportunities needed to promote children’s well-being, healthy development, and transferable learning. In addition, we review research regarding practices that can help educators respond to individual variability, address adversity, and support resilience, such that schools can enable all children to find positive pathways to adulthood.","author":[{"dropping-particle":"","family":"Darling-Hammond","given":"Linda","non-dropping-particle":"","parse-names":false,"suffix":""},{"dropping-particle":"","family":"Flook","given":"Lisa","non-dropping-particle":"","parse-names":false,"suffix":""},{"dropping-particle":"","family":"Cook-Harvey","given":"Channa","non-dropping-particle":"","parse-names":false,"suffix":""},{"dropping-particle":"","family":"Barron","given":"Brigid","non-dropping-particle":"","parse-names":false,"suffix":""},{"dropping-particle":"","family":"Osher","given":"David","non-dropping-particle":"","parse-names":false,"suffix":""}],"container-title":"Applied Developmental Science","id":"ITEM-1","issue":"2","issued":{"date-parts":[["2020"]]},"page":"97-140","publisher":"Routledge","title":"Implications for educational practice of the science of learning and development","type":"article-journal","volume":"24"},"uris":["http://www.mendeley.com/documents/?uuid=a78a5657-59d3-4660-a5ee-a11c2dd4d3bc"]}],"mendeley":{"formattedCitation":"(Darling-Hammond et al., 2020)","plainTextFormattedCitation":"(Darling-Hammond et al., 2020)","previouslyFormattedCitation":"(Darling-Hammond et al., 2020)"},"properties":{"noteIndex":0},"schema":"https://github.com/citation-style-language/schema/raw/master/csl-citation.json"}</w:instrText>
      </w:r>
      <w:r w:rsidR="009649F8">
        <w:rPr>
          <w:rFonts w:ascii="Book Antiqua" w:hAnsi="Book Antiqua"/>
          <w:sz w:val="24"/>
          <w:szCs w:val="24"/>
        </w:rPr>
        <w:fldChar w:fldCharType="separate"/>
      </w:r>
      <w:r w:rsidR="009649F8" w:rsidRPr="009649F8">
        <w:rPr>
          <w:rFonts w:ascii="Book Antiqua" w:hAnsi="Book Antiqua"/>
          <w:noProof/>
          <w:sz w:val="24"/>
          <w:szCs w:val="24"/>
        </w:rPr>
        <w:t>(Darling-Hammond et al., 2020)</w:t>
      </w:r>
      <w:r w:rsidR="009649F8">
        <w:rPr>
          <w:rFonts w:ascii="Book Antiqua" w:hAnsi="Book Antiqua"/>
          <w:sz w:val="24"/>
          <w:szCs w:val="24"/>
        </w:rPr>
        <w:fldChar w:fldCharType="end"/>
      </w:r>
      <w:r w:rsidR="009649F8">
        <w:rPr>
          <w:rFonts w:ascii="Book Antiqua" w:hAnsi="Book Antiqua"/>
          <w:sz w:val="24"/>
          <w:szCs w:val="24"/>
        </w:rPr>
        <w:t>d</w:t>
      </w:r>
      <w:r w:rsidRPr="00EF0129">
        <w:rPr>
          <w:rFonts w:ascii="Book Antiqua" w:hAnsi="Book Antiqua"/>
          <w:sz w:val="24"/>
          <w:szCs w:val="24"/>
        </w:rPr>
        <w:t>.</w:t>
      </w:r>
    </w:p>
    <w:p w14:paraId="374D14AA" w14:textId="77777777" w:rsidR="00696C01" w:rsidRPr="00EF0129" w:rsidRDefault="00696C01" w:rsidP="00EF0129">
      <w:pPr>
        <w:pStyle w:val="NoSpacing"/>
        <w:jc w:val="both"/>
        <w:rPr>
          <w:rFonts w:ascii="Book Antiqua" w:hAnsi="Book Antiqua"/>
          <w:sz w:val="24"/>
          <w:szCs w:val="24"/>
        </w:rPr>
      </w:pPr>
    </w:p>
    <w:p w14:paraId="195B1611" w14:textId="191C3E4D" w:rsidR="00696C01" w:rsidRDefault="00E33B67" w:rsidP="00696C01">
      <w:pPr>
        <w:pStyle w:val="NoSpacing"/>
        <w:jc w:val="both"/>
        <w:rPr>
          <w:rFonts w:ascii="Book Antiqua" w:hAnsi="Book Antiqua"/>
          <w:sz w:val="24"/>
          <w:szCs w:val="24"/>
        </w:rPr>
      </w:pPr>
      <w:r w:rsidRPr="00EF0129">
        <w:rPr>
          <w:rFonts w:ascii="Book Antiqua" w:hAnsi="Book Antiqua"/>
          <w:sz w:val="24"/>
          <w:szCs w:val="24"/>
        </w:rPr>
        <w:t>This study is limited by its single-school setting, the participation of only 26 students, the absence of the Disseminate stage, and reliance on expert and user questionnaires. The response-score summaries in the needs analysis should also be checked against the raw questionnaire data before publication. Future studies should revise and standardize the needs instruments, test the product with larger and more diverse groups, and compare memory outcomes before and after the intervention. Experimental or quasi-experimental designs, delayed posttests, observation rubrics, and validated memory measures would provide stronger evidence regarding effectiveness and sustainability</w:t>
      </w:r>
      <w:r w:rsidR="009649F8">
        <w:rPr>
          <w:rFonts w:ascii="Book Antiqua" w:hAnsi="Book Antiqua"/>
          <w:sz w:val="24"/>
          <w:szCs w:val="24"/>
        </w:rPr>
        <w:t xml:space="preserve"> </w:t>
      </w:r>
      <w:r w:rsidR="009649F8">
        <w:rPr>
          <w:rFonts w:ascii="Book Antiqua" w:hAnsi="Book Antiqua"/>
          <w:sz w:val="24"/>
          <w:szCs w:val="24"/>
        </w:rPr>
        <w:fldChar w:fldCharType="begin" w:fldLock="1"/>
      </w:r>
      <w:r w:rsidR="009649F8">
        <w:rPr>
          <w:rFonts w:ascii="Book Antiqua" w:hAnsi="Book Antiqua"/>
          <w:sz w:val="24"/>
          <w:szCs w:val="24"/>
        </w:rPr>
        <w:instrText>ADDIN CSL_CITATION {"citationItems":[{"id":"ITEM-1","itemData":{"DOI":"10.1007/s10758-024-09746-1","ISBN":"0123456789","ISSN":"22111670","abstract":"In light of the educational challenges brought about by the COVID-19 pandemic, there is a growing need to bolster online science teaching and learning by incorporating evidence-based pedagogical principles of Learning Experience Design (LXD). As a response to this, we conducted a quasi-experimental, design-based research study involving nN = 183 undergraduate students enrolled across two online classes in an upper-division course on Ecology and Evolutionary Biology at a large R1 public university. The study extended over a period of 10 weeks, during which half of the students encountered low-stakes questions immediately embedded within the video player, while the remaining half received the same low-stakes questions after viewing all the instructional videos within the unit. Consequently, this study experimentally manipulated the timing of the questions across the two class conditions. These questions functioned as opportunities for low-stakes content practice and retention, designed to encourage learners to experience testing effect and augment the formation of their conceptual understanding. Across both conditions, we assessed potential differences in total weekly quiz grades, page views, and course participation among students who encountered embedded video questions. We also assessed students’ self-report engagement, self-regulation, and critical thinking. On average, the outcomes indicated that learners exposed to immediate low-stakes questioning exhibited notably superior summative quiz scores, increased page views, and enhanced participation in the course. Additionally, those who experienced immediate questioning demonstrated heightened levels of online engagement, self-regulation, and critical thinking. Moreover, our analysis delved into the intricate interplay between treatment conditions, learners’ self-regulation, critical thinking, and quiz grades through a multiple regression model. Notably, the interaction between those in the immediate questioning condition and self-regulation emerged as a significant factor, suggesting that the influence of immediate questioning on quiz grades varies based on learners’ self-regulation abilities. Collectively, these findings highlight the substantial positive effects of immediate questioning of online video lectures on both academic performance and cognitive skills within an online learning context. This discussion delves into the potential implications for institutions to continually refine their approac…","author":[{"dropping-particle":"","family":"Wong","given":"Joseph T.","non-dropping-particle":"","parse-names":false,"suffix":""},{"dropping-particle":"","family":"Richland","given":"Lindsey Engle","non-dropping-particle":"","parse-names":false,"suffix":""},{"dropping-particle":"","family":"Hughes","given":"Bradley S.","non-dropping-particle":"","parse-names":false,"suffix":""}],"container-title":"Technology, Knowledge and Learning","id":"ITEM-1","issue":"3","issued":{"date-parts":[["2025"]]},"number-of-pages":"1421-1456","publisher":"Springer Netherlands","title":"Immediate Versus Delayed Low-Stakes Questioning: Encouraging the Testing Effect Through Embedded Video Questions to Support Students’ Knowledge Outcomes, Self-Regulation, and Critical Thinking","type":"book","volume":"30"},"uris":["http://www.mendeley.com/documents/?uuid=f9e43a07-ceaa-4486-8949-2a4dd636e9be"]}],"mendeley":{"formattedCitation":"(Wong et al., 2025)","plainTextFormattedCitation":"(Wong et al., 2025)","previouslyFormattedCitation":"(Wong et al., 2025)"},"properties":{"noteIndex":0},"schema":"https://github.com/citation-style-language/schema/raw/master/csl-citation.json"}</w:instrText>
      </w:r>
      <w:r w:rsidR="009649F8">
        <w:rPr>
          <w:rFonts w:ascii="Book Antiqua" w:hAnsi="Book Antiqua"/>
          <w:sz w:val="24"/>
          <w:szCs w:val="24"/>
        </w:rPr>
        <w:fldChar w:fldCharType="separate"/>
      </w:r>
      <w:r w:rsidR="009649F8" w:rsidRPr="009649F8">
        <w:rPr>
          <w:rFonts w:ascii="Book Antiqua" w:hAnsi="Book Antiqua"/>
          <w:noProof/>
          <w:sz w:val="24"/>
          <w:szCs w:val="24"/>
        </w:rPr>
        <w:t>(Wong et al., 2025)</w:t>
      </w:r>
      <w:r w:rsidR="009649F8">
        <w:rPr>
          <w:rFonts w:ascii="Book Antiqua" w:hAnsi="Book Antiqua"/>
          <w:sz w:val="24"/>
          <w:szCs w:val="24"/>
        </w:rPr>
        <w:fldChar w:fldCharType="end"/>
      </w:r>
      <w:r w:rsidR="009649F8">
        <w:rPr>
          <w:rFonts w:ascii="Book Antiqua" w:hAnsi="Book Antiqua"/>
          <w:sz w:val="24"/>
          <w:szCs w:val="24"/>
        </w:rPr>
        <w:t>ric</w:t>
      </w:r>
      <w:r w:rsidRPr="00EF0129">
        <w:rPr>
          <w:rFonts w:ascii="Book Antiqua" w:hAnsi="Book Antiqua"/>
          <w:sz w:val="24"/>
          <w:szCs w:val="24"/>
        </w:rPr>
        <w:t>.</w:t>
      </w:r>
    </w:p>
    <w:p w14:paraId="45C33638" w14:textId="77777777" w:rsidR="00696C01" w:rsidRDefault="00696C01" w:rsidP="00696C01">
      <w:pPr>
        <w:pStyle w:val="NoSpacing"/>
        <w:jc w:val="both"/>
        <w:rPr>
          <w:rFonts w:ascii="Book Antiqua" w:hAnsi="Book Antiqua"/>
          <w:sz w:val="24"/>
          <w:szCs w:val="24"/>
        </w:rPr>
      </w:pPr>
    </w:p>
    <w:p w14:paraId="0A750C19" w14:textId="03DFE64F" w:rsidR="004A618A" w:rsidRPr="00696C01" w:rsidRDefault="009A7091" w:rsidP="00696C01">
      <w:pPr>
        <w:pStyle w:val="NoSpacing"/>
        <w:numPr>
          <w:ilvl w:val="0"/>
          <w:numId w:val="13"/>
        </w:numPr>
        <w:jc w:val="both"/>
        <w:rPr>
          <w:rFonts w:ascii="Book Antiqua" w:hAnsi="Book Antiqua"/>
          <w:sz w:val="24"/>
          <w:szCs w:val="24"/>
        </w:rPr>
      </w:pPr>
      <w:r w:rsidRPr="00696C01">
        <w:rPr>
          <w:rFonts w:ascii="Book Antiqua" w:hAnsi="Book Antiqua"/>
          <w:b/>
          <w:bCs/>
          <w:color w:val="000000"/>
          <w:sz w:val="24"/>
          <w:szCs w:val="24"/>
        </w:rPr>
        <w:t>Conclusions</w:t>
      </w:r>
    </w:p>
    <w:p w14:paraId="3677A216" w14:textId="77777777" w:rsidR="004A618A" w:rsidRDefault="004A618A" w:rsidP="004A618A">
      <w:pPr>
        <w:widowControl w:val="0"/>
        <w:spacing w:after="0" w:line="240" w:lineRule="auto"/>
        <w:jc w:val="both"/>
        <w:outlineLvl w:val="0"/>
        <w:rPr>
          <w:rFonts w:ascii="Book Antiqua" w:eastAsia="Times New Roman" w:hAnsi="Book Antiqua"/>
          <w:sz w:val="24"/>
          <w:szCs w:val="24"/>
        </w:rPr>
      </w:pPr>
    </w:p>
    <w:p w14:paraId="738D0430" w14:textId="64C0FFB2" w:rsidR="00696C01" w:rsidRDefault="00E33B67" w:rsidP="00696C01">
      <w:pPr>
        <w:pStyle w:val="NoSpacing"/>
        <w:jc w:val="both"/>
        <w:rPr>
          <w:rFonts w:ascii="Book Antiqua" w:hAnsi="Book Antiqua"/>
          <w:sz w:val="24"/>
          <w:szCs w:val="24"/>
        </w:rPr>
      </w:pPr>
      <w:r w:rsidRPr="00696C01">
        <w:rPr>
          <w:rFonts w:ascii="Book Antiqua" w:hAnsi="Book Antiqua"/>
          <w:sz w:val="24"/>
          <w:szCs w:val="24"/>
        </w:rPr>
        <w:t>This study developed the Run Ping-Pong Ball game medium as an interactive tool for classical guidance services intended to train elementary school students</w:t>
      </w:r>
      <w:r w:rsidR="008018ED">
        <w:rPr>
          <w:rFonts w:ascii="Book Antiqua" w:hAnsi="Book Antiqua"/>
          <w:sz w:val="24"/>
          <w:szCs w:val="24"/>
        </w:rPr>
        <w:t>’</w:t>
      </w:r>
      <w:r w:rsidRPr="00696C01">
        <w:rPr>
          <w:rFonts w:ascii="Book Antiqua" w:hAnsi="Book Antiqua"/>
          <w:sz w:val="24"/>
          <w:szCs w:val="24"/>
        </w:rPr>
        <w:t xml:space="preserve"> memory skills. The development process followed the 4D model but was limited to the Define, Design, and Develop stages. During the Define stage, interviews, observations, and student questionnaires indicated difficulties in maintaining attention, recalling recently presented information, sustaining concentration, and retaining learning material. The Design stage translated these needs into a game that combines physical movement, sequential instructions, information recall, and active participation. During the Develop stage, the product was validated, revised, and tested for practicality with a guidance counselor and 26 fourth-grade students.</w:t>
      </w:r>
      <w:r w:rsidR="00696C01">
        <w:rPr>
          <w:rFonts w:ascii="Book Antiqua" w:hAnsi="Book Antiqua"/>
          <w:sz w:val="24"/>
          <w:szCs w:val="24"/>
        </w:rPr>
        <w:t xml:space="preserve"> </w:t>
      </w:r>
      <w:r w:rsidRPr="00696C01">
        <w:rPr>
          <w:rFonts w:ascii="Book Antiqua" w:hAnsi="Book Antiqua"/>
          <w:sz w:val="24"/>
          <w:szCs w:val="24"/>
        </w:rPr>
        <w:t>The media expert awarded a validity score of 84%, while the material expert awarded 93.33%; both results placed the product in the highly valid category. The guidance counselor</w:t>
      </w:r>
      <w:r w:rsidR="008018ED">
        <w:rPr>
          <w:rFonts w:ascii="Book Antiqua" w:hAnsi="Book Antiqua"/>
          <w:sz w:val="24"/>
          <w:szCs w:val="24"/>
        </w:rPr>
        <w:t>’</w:t>
      </w:r>
      <w:r w:rsidRPr="00696C01">
        <w:rPr>
          <w:rFonts w:ascii="Book Antiqua" w:hAnsi="Book Antiqua"/>
          <w:sz w:val="24"/>
          <w:szCs w:val="24"/>
        </w:rPr>
        <w:t>s practicality assessment reached 94%, and the students</w:t>
      </w:r>
      <w:r w:rsidR="008018ED">
        <w:rPr>
          <w:rFonts w:ascii="Book Antiqua" w:hAnsi="Book Antiqua"/>
          <w:sz w:val="24"/>
          <w:szCs w:val="24"/>
        </w:rPr>
        <w:t>’</w:t>
      </w:r>
      <w:r w:rsidRPr="00696C01">
        <w:rPr>
          <w:rFonts w:ascii="Book Antiqua" w:hAnsi="Book Antiqua"/>
          <w:sz w:val="24"/>
          <w:szCs w:val="24"/>
        </w:rPr>
        <w:t xml:space="preserve"> response reached 82.46%, indicating that the medium was perceived as practical, engaging, and suitable for classroom-based guidance activities. These findings support the feasibility of the product but do not establish that it improves memory, because the study did not use a pretest, posttest, comparison group, or long-term follow-up.</w:t>
      </w:r>
      <w:r w:rsidR="00696C01">
        <w:rPr>
          <w:rFonts w:ascii="Book Antiqua" w:hAnsi="Book Antiqua"/>
          <w:sz w:val="24"/>
          <w:szCs w:val="24"/>
        </w:rPr>
        <w:t xml:space="preserve"> </w:t>
      </w:r>
      <w:r w:rsidRPr="00696C01">
        <w:rPr>
          <w:rFonts w:ascii="Book Antiqua" w:hAnsi="Book Antiqua"/>
          <w:sz w:val="24"/>
          <w:szCs w:val="24"/>
        </w:rPr>
        <w:t xml:space="preserve">Practically, the medium may help guidance counselors organize activities that require students to focus on instructions, remember sequences, retrieve information, and participate actively. Its implementation should include clear safety procedures, </w:t>
      </w:r>
      <w:r w:rsidRPr="00696C01">
        <w:rPr>
          <w:rFonts w:ascii="Book Antiqua" w:hAnsi="Book Antiqua"/>
          <w:sz w:val="24"/>
          <w:szCs w:val="24"/>
        </w:rPr>
        <w:lastRenderedPageBreak/>
        <w:t>sufficient space, age-appropriate instructions, and reflection after the game. The study is limited by its single-school setting, small participant group, reliance on questionnaire responses, and omission of the Disseminate stage. Future research should test effectiveness using experimental or quasi-experimental designs, validated memory measures, larger and more diverse samples, delayed assessments, and comparisons with conventional classical guidance. Further development should also examine accessibility, implementation consistency, and adaptation for different subjects and age groups. Further studies can strengthen evidence of educational impact.</w:t>
      </w:r>
    </w:p>
    <w:p w14:paraId="409E8B39" w14:textId="77777777" w:rsidR="00696C01" w:rsidRDefault="00696C01" w:rsidP="00696C01">
      <w:pPr>
        <w:pStyle w:val="NoSpacing"/>
        <w:jc w:val="both"/>
        <w:rPr>
          <w:rFonts w:ascii="Book Antiqua" w:hAnsi="Book Antiqua"/>
          <w:sz w:val="24"/>
          <w:szCs w:val="24"/>
        </w:rPr>
      </w:pPr>
    </w:p>
    <w:p w14:paraId="5B97DECD" w14:textId="19F158A3" w:rsidR="004A618A" w:rsidRPr="00696C01" w:rsidRDefault="009A7091" w:rsidP="00696C01">
      <w:pPr>
        <w:pStyle w:val="NoSpacing"/>
        <w:numPr>
          <w:ilvl w:val="0"/>
          <w:numId w:val="13"/>
        </w:numPr>
        <w:jc w:val="both"/>
        <w:rPr>
          <w:rFonts w:ascii="Book Antiqua" w:hAnsi="Book Antiqua"/>
          <w:sz w:val="24"/>
          <w:szCs w:val="24"/>
        </w:rPr>
      </w:pPr>
      <w:r w:rsidRPr="00696C01">
        <w:rPr>
          <w:rFonts w:ascii="Book Antiqua" w:hAnsi="Book Antiqua"/>
          <w:b/>
          <w:bCs/>
          <w:color w:val="000000"/>
          <w:sz w:val="24"/>
          <w:szCs w:val="24"/>
        </w:rPr>
        <w:t>Acknowledgement</w:t>
      </w:r>
    </w:p>
    <w:p w14:paraId="0023EA72" w14:textId="77777777" w:rsidR="004A618A" w:rsidRDefault="004A618A" w:rsidP="004A618A">
      <w:pPr>
        <w:widowControl w:val="0"/>
        <w:spacing w:after="0" w:line="240" w:lineRule="auto"/>
        <w:jc w:val="both"/>
        <w:outlineLvl w:val="0"/>
        <w:rPr>
          <w:rFonts w:ascii="Book Antiqua" w:hAnsi="Book Antiqua"/>
          <w:sz w:val="24"/>
          <w:szCs w:val="24"/>
        </w:rPr>
      </w:pPr>
    </w:p>
    <w:p w14:paraId="2EA25712" w14:textId="77777777" w:rsidR="00696C01" w:rsidRDefault="00E33B67" w:rsidP="00696C01">
      <w:pPr>
        <w:pStyle w:val="NoSpacing"/>
        <w:jc w:val="both"/>
      </w:pPr>
      <w:r w:rsidRPr="00696C01">
        <w:rPr>
          <w:rFonts w:ascii="Book Antiqua" w:hAnsi="Book Antiqua"/>
          <w:sz w:val="24"/>
          <w:szCs w:val="24"/>
        </w:rPr>
        <w:t>We express our sincere gratitude to the supervising lecturer for the guidance, feedback, and academic support provided throughout this study. We also thank the media and material validators for their careful assessments and constructive recommendations. Our appreciation is extended to the principal, guidance and counseling teacher, classroom teacher, and fourth-grade students of SD Swasta Al-Mukmin for granting access, participating in the research activities, and providing valuable responses. We are also grateful to Universitas Islam Negeri Sumatera Utara, Medan, Indonesia, and to all colleagues who contributed directly or indirectly to the completion of this research</w:t>
      </w:r>
      <w:r>
        <w:t>.</w:t>
      </w:r>
    </w:p>
    <w:p w14:paraId="1D351D31" w14:textId="77777777" w:rsidR="00696C01" w:rsidRDefault="00696C01" w:rsidP="00696C01">
      <w:pPr>
        <w:pStyle w:val="NoSpacing"/>
        <w:jc w:val="both"/>
      </w:pPr>
    </w:p>
    <w:p w14:paraId="69E96BAF" w14:textId="24F319E5" w:rsidR="004A618A" w:rsidRDefault="009A7091" w:rsidP="00696C01">
      <w:pPr>
        <w:pStyle w:val="NoSpacing"/>
        <w:jc w:val="both"/>
        <w:rPr>
          <w:rFonts w:ascii="Book Antiqua" w:hAnsi="Book Antiqua"/>
          <w:b/>
          <w:bCs/>
          <w:color w:val="000000"/>
          <w:sz w:val="24"/>
          <w:szCs w:val="24"/>
        </w:rPr>
      </w:pPr>
      <w:r w:rsidRPr="00C3555D">
        <w:rPr>
          <w:rFonts w:ascii="Book Antiqua" w:hAnsi="Book Antiqua"/>
          <w:b/>
          <w:bCs/>
          <w:color w:val="000000"/>
          <w:sz w:val="24"/>
          <w:szCs w:val="24"/>
        </w:rPr>
        <w:t>Reference</w:t>
      </w:r>
      <w:r w:rsidR="00CB4330">
        <w:rPr>
          <w:rFonts w:ascii="Book Antiqua" w:hAnsi="Book Antiqua"/>
          <w:b/>
          <w:bCs/>
          <w:color w:val="000000"/>
          <w:sz w:val="24"/>
          <w:szCs w:val="24"/>
        </w:rPr>
        <w:t>s</w:t>
      </w:r>
    </w:p>
    <w:p w14:paraId="3243A749" w14:textId="77777777" w:rsidR="005350CD" w:rsidRPr="00696C01" w:rsidRDefault="005350CD" w:rsidP="00696C01">
      <w:pPr>
        <w:pStyle w:val="NoSpacing"/>
        <w:jc w:val="both"/>
      </w:pPr>
    </w:p>
    <w:p w14:paraId="738946AA" w14:textId="31F4007B" w:rsidR="002B5B58" w:rsidRPr="002B5B58" w:rsidRDefault="002B5B58" w:rsidP="005350CD">
      <w:pPr>
        <w:widowControl w:val="0"/>
        <w:autoSpaceDE w:val="0"/>
        <w:autoSpaceDN w:val="0"/>
        <w:adjustRightInd w:val="0"/>
        <w:spacing w:after="0" w:line="240" w:lineRule="auto"/>
        <w:ind w:left="480" w:hanging="480"/>
        <w:jc w:val="both"/>
        <w:rPr>
          <w:rFonts w:ascii="Book Antiqua" w:hAnsi="Book Antiqua" w:cs="Times New Roman"/>
          <w:noProof/>
          <w:sz w:val="24"/>
        </w:rPr>
      </w:pPr>
      <w:r>
        <w:rPr>
          <w:rFonts w:ascii="Book Antiqua" w:hAnsi="Book Antiqua"/>
          <w:sz w:val="24"/>
          <w:szCs w:val="24"/>
        </w:rPr>
        <w:fldChar w:fldCharType="begin" w:fldLock="1"/>
      </w:r>
      <w:r>
        <w:rPr>
          <w:rFonts w:ascii="Book Antiqua" w:hAnsi="Book Antiqua"/>
          <w:sz w:val="24"/>
          <w:szCs w:val="24"/>
        </w:rPr>
        <w:instrText xml:space="preserve">ADDIN Mendeley Bibliography CSL_BIBLIOGRAPHY </w:instrText>
      </w:r>
      <w:r>
        <w:rPr>
          <w:rFonts w:ascii="Book Antiqua" w:hAnsi="Book Antiqua"/>
          <w:sz w:val="24"/>
          <w:szCs w:val="24"/>
        </w:rPr>
        <w:fldChar w:fldCharType="separate"/>
      </w:r>
      <w:r w:rsidRPr="002B5B58">
        <w:rPr>
          <w:rFonts w:ascii="Book Antiqua" w:hAnsi="Book Antiqua" w:cs="Times New Roman"/>
          <w:noProof/>
          <w:sz w:val="24"/>
        </w:rPr>
        <w:t xml:space="preserve">Ansoriyah, S., Sarifah, I., Oktaviani, R., &amp; Muawanah, U. (2026). Contextual learning for sustainable education using digital folktale materials. </w:t>
      </w:r>
      <w:r w:rsidRPr="002B5B58">
        <w:rPr>
          <w:rFonts w:ascii="Book Antiqua" w:hAnsi="Book Antiqua" w:cs="Times New Roman"/>
          <w:i/>
          <w:iCs/>
          <w:noProof/>
          <w:sz w:val="24"/>
        </w:rPr>
        <w:t>Discover Sustainability</w:t>
      </w:r>
      <w:r w:rsidRPr="002B5B58">
        <w:rPr>
          <w:rFonts w:ascii="Book Antiqua" w:hAnsi="Book Antiqua" w:cs="Times New Roman"/>
          <w:noProof/>
          <w:sz w:val="24"/>
        </w:rPr>
        <w:t xml:space="preserve">, </w:t>
      </w:r>
      <w:r w:rsidRPr="002B5B58">
        <w:rPr>
          <w:rFonts w:ascii="Book Antiqua" w:hAnsi="Book Antiqua" w:cs="Times New Roman"/>
          <w:i/>
          <w:iCs/>
          <w:noProof/>
          <w:sz w:val="24"/>
        </w:rPr>
        <w:t>7</w:t>
      </w:r>
      <w:r w:rsidRPr="002B5B58">
        <w:rPr>
          <w:rFonts w:ascii="Book Antiqua" w:hAnsi="Book Antiqua" w:cs="Times New Roman"/>
          <w:noProof/>
          <w:sz w:val="24"/>
        </w:rPr>
        <w:t>(1). https://doi.org/10.1007/s43621-026-02956-w</w:t>
      </w:r>
    </w:p>
    <w:p w14:paraId="7468E52F" w14:textId="77777777" w:rsidR="002B5B58" w:rsidRPr="002B5B58" w:rsidRDefault="002B5B58" w:rsidP="005350CD">
      <w:pPr>
        <w:widowControl w:val="0"/>
        <w:autoSpaceDE w:val="0"/>
        <w:autoSpaceDN w:val="0"/>
        <w:adjustRightInd w:val="0"/>
        <w:spacing w:after="0" w:line="240" w:lineRule="auto"/>
        <w:ind w:left="480" w:hanging="480"/>
        <w:jc w:val="both"/>
        <w:rPr>
          <w:rFonts w:ascii="Book Antiqua" w:hAnsi="Book Antiqua" w:cs="Times New Roman"/>
          <w:noProof/>
          <w:sz w:val="24"/>
        </w:rPr>
      </w:pPr>
      <w:r w:rsidRPr="002B5B58">
        <w:rPr>
          <w:rFonts w:ascii="Book Antiqua" w:hAnsi="Book Antiqua" w:cs="Times New Roman"/>
          <w:noProof/>
          <w:sz w:val="24"/>
        </w:rPr>
        <w:t xml:space="preserve">Baig, M. I., &amp; Yadegaridehkordi, E. (2023). Flipped classroom in higher education: a systematic literature review and research challenges. </w:t>
      </w:r>
      <w:r w:rsidRPr="002B5B58">
        <w:rPr>
          <w:rFonts w:ascii="Book Antiqua" w:hAnsi="Book Antiqua" w:cs="Times New Roman"/>
          <w:i/>
          <w:iCs/>
          <w:noProof/>
          <w:sz w:val="24"/>
        </w:rPr>
        <w:t>International Journal of Educational Technology in Higher Education</w:t>
      </w:r>
      <w:r w:rsidRPr="002B5B58">
        <w:rPr>
          <w:rFonts w:ascii="Book Antiqua" w:hAnsi="Book Antiqua" w:cs="Times New Roman"/>
          <w:noProof/>
          <w:sz w:val="24"/>
        </w:rPr>
        <w:t xml:space="preserve">, </w:t>
      </w:r>
      <w:r w:rsidRPr="002B5B58">
        <w:rPr>
          <w:rFonts w:ascii="Book Antiqua" w:hAnsi="Book Antiqua" w:cs="Times New Roman"/>
          <w:i/>
          <w:iCs/>
          <w:noProof/>
          <w:sz w:val="24"/>
        </w:rPr>
        <w:t>20</w:t>
      </w:r>
      <w:r w:rsidRPr="002B5B58">
        <w:rPr>
          <w:rFonts w:ascii="Book Antiqua" w:hAnsi="Book Antiqua" w:cs="Times New Roman"/>
          <w:noProof/>
          <w:sz w:val="24"/>
        </w:rPr>
        <w:t>(1). https://doi.org/10.1186/s41239-023-00430-5</w:t>
      </w:r>
    </w:p>
    <w:p w14:paraId="772D3EF9" w14:textId="77777777" w:rsidR="002B5B58" w:rsidRPr="002B5B58" w:rsidRDefault="002B5B58" w:rsidP="005350CD">
      <w:pPr>
        <w:widowControl w:val="0"/>
        <w:autoSpaceDE w:val="0"/>
        <w:autoSpaceDN w:val="0"/>
        <w:adjustRightInd w:val="0"/>
        <w:spacing w:after="0" w:line="240" w:lineRule="auto"/>
        <w:ind w:left="480" w:hanging="480"/>
        <w:jc w:val="both"/>
        <w:rPr>
          <w:rFonts w:ascii="Book Antiqua" w:hAnsi="Book Antiqua" w:cs="Times New Roman"/>
          <w:noProof/>
          <w:sz w:val="24"/>
        </w:rPr>
      </w:pPr>
      <w:r w:rsidRPr="002B5B58">
        <w:rPr>
          <w:rFonts w:ascii="Book Antiqua" w:hAnsi="Book Antiqua" w:cs="Times New Roman"/>
          <w:noProof/>
          <w:sz w:val="24"/>
        </w:rPr>
        <w:t xml:space="preserve">Borda, E., Schumacher, E., Hanley, D., Geary, E., Warren, S., Ipsen, C., &amp; Stredicke, L. (2020). Initial implementation of active learning strategies in large, lecture STEM courses: lessons learned from a multi-institutional, interdisciplinary STEM faculty development program. </w:t>
      </w:r>
      <w:r w:rsidRPr="002B5B58">
        <w:rPr>
          <w:rFonts w:ascii="Book Antiqua" w:hAnsi="Book Antiqua" w:cs="Times New Roman"/>
          <w:i/>
          <w:iCs/>
          <w:noProof/>
          <w:sz w:val="24"/>
        </w:rPr>
        <w:t>International Journal of STEM Education</w:t>
      </w:r>
      <w:r w:rsidRPr="002B5B58">
        <w:rPr>
          <w:rFonts w:ascii="Book Antiqua" w:hAnsi="Book Antiqua" w:cs="Times New Roman"/>
          <w:noProof/>
          <w:sz w:val="24"/>
        </w:rPr>
        <w:t xml:space="preserve">, </w:t>
      </w:r>
      <w:r w:rsidRPr="002B5B58">
        <w:rPr>
          <w:rFonts w:ascii="Book Antiqua" w:hAnsi="Book Antiqua" w:cs="Times New Roman"/>
          <w:i/>
          <w:iCs/>
          <w:noProof/>
          <w:sz w:val="24"/>
        </w:rPr>
        <w:t>7</w:t>
      </w:r>
      <w:r w:rsidRPr="002B5B58">
        <w:rPr>
          <w:rFonts w:ascii="Book Antiqua" w:hAnsi="Book Antiqua" w:cs="Times New Roman"/>
          <w:noProof/>
          <w:sz w:val="24"/>
        </w:rPr>
        <w:t>(1). https://doi.org/10.1186/s40594-020-0203-2</w:t>
      </w:r>
    </w:p>
    <w:p w14:paraId="1DD5BCE3" w14:textId="77777777" w:rsidR="002B5B58" w:rsidRPr="002B5B58" w:rsidRDefault="002B5B58" w:rsidP="005350CD">
      <w:pPr>
        <w:widowControl w:val="0"/>
        <w:autoSpaceDE w:val="0"/>
        <w:autoSpaceDN w:val="0"/>
        <w:adjustRightInd w:val="0"/>
        <w:spacing w:after="0" w:line="240" w:lineRule="auto"/>
        <w:ind w:left="480" w:hanging="480"/>
        <w:jc w:val="both"/>
        <w:rPr>
          <w:rFonts w:ascii="Book Antiqua" w:hAnsi="Book Antiqua" w:cs="Times New Roman"/>
          <w:noProof/>
          <w:sz w:val="24"/>
        </w:rPr>
      </w:pPr>
      <w:r w:rsidRPr="002B5B58">
        <w:rPr>
          <w:rFonts w:ascii="Book Antiqua" w:hAnsi="Book Antiqua" w:cs="Times New Roman"/>
          <w:noProof/>
          <w:sz w:val="24"/>
        </w:rPr>
        <w:t xml:space="preserve">Borsci, S., Malizia, A., Schmettow, M., van der Velde, F., Tariverdiyeva, G., Balaji, D., &amp; Chamberlain, A. (2022). The Chatbot Usability Scale: the Design and Pilot of a Usability Scale for Interaction with AI-Based Conversational Agents. </w:t>
      </w:r>
      <w:r w:rsidRPr="002B5B58">
        <w:rPr>
          <w:rFonts w:ascii="Book Antiqua" w:hAnsi="Book Antiqua" w:cs="Times New Roman"/>
          <w:i/>
          <w:iCs/>
          <w:noProof/>
          <w:sz w:val="24"/>
        </w:rPr>
        <w:t>Personal and Ubiquitous Computing</w:t>
      </w:r>
      <w:r w:rsidRPr="002B5B58">
        <w:rPr>
          <w:rFonts w:ascii="Book Antiqua" w:hAnsi="Book Antiqua" w:cs="Times New Roman"/>
          <w:noProof/>
          <w:sz w:val="24"/>
        </w:rPr>
        <w:t xml:space="preserve">, </w:t>
      </w:r>
      <w:r w:rsidRPr="002B5B58">
        <w:rPr>
          <w:rFonts w:ascii="Book Antiqua" w:hAnsi="Book Antiqua" w:cs="Times New Roman"/>
          <w:i/>
          <w:iCs/>
          <w:noProof/>
          <w:sz w:val="24"/>
        </w:rPr>
        <w:t>26</w:t>
      </w:r>
      <w:r w:rsidRPr="002B5B58">
        <w:rPr>
          <w:rFonts w:ascii="Book Antiqua" w:hAnsi="Book Antiqua" w:cs="Times New Roman"/>
          <w:noProof/>
          <w:sz w:val="24"/>
        </w:rPr>
        <w:t>(1), 95–119. https://doi.org/10.1007/s00779-021-01582-9</w:t>
      </w:r>
    </w:p>
    <w:p w14:paraId="2BBC0FA2" w14:textId="77777777" w:rsidR="002B5B58" w:rsidRPr="002B5B58" w:rsidRDefault="002B5B58" w:rsidP="005350CD">
      <w:pPr>
        <w:widowControl w:val="0"/>
        <w:autoSpaceDE w:val="0"/>
        <w:autoSpaceDN w:val="0"/>
        <w:adjustRightInd w:val="0"/>
        <w:spacing w:after="0" w:line="240" w:lineRule="auto"/>
        <w:ind w:left="480" w:hanging="480"/>
        <w:jc w:val="both"/>
        <w:rPr>
          <w:rFonts w:ascii="Book Antiqua" w:hAnsi="Book Antiqua" w:cs="Times New Roman"/>
          <w:noProof/>
          <w:sz w:val="24"/>
        </w:rPr>
      </w:pPr>
      <w:r w:rsidRPr="002B5B58">
        <w:rPr>
          <w:rFonts w:ascii="Book Antiqua" w:hAnsi="Book Antiqua" w:cs="Times New Roman"/>
          <w:noProof/>
          <w:sz w:val="24"/>
        </w:rPr>
        <w:t xml:space="preserve">Cascella, M., Cascella, A., Monaco, F., &amp; Shariff, M. N. (2023). Envisioning gamification in anesthesia, pain management, and critical care: basic principles, integration of artificial intelligence, and simulation strategies. </w:t>
      </w:r>
      <w:r w:rsidRPr="002B5B58">
        <w:rPr>
          <w:rFonts w:ascii="Book Antiqua" w:hAnsi="Book Antiqua" w:cs="Times New Roman"/>
          <w:i/>
          <w:iCs/>
          <w:noProof/>
          <w:sz w:val="24"/>
        </w:rPr>
        <w:t xml:space="preserve">Journal of </w:t>
      </w:r>
      <w:r w:rsidRPr="002B5B58">
        <w:rPr>
          <w:rFonts w:ascii="Book Antiqua" w:hAnsi="Book Antiqua" w:cs="Times New Roman"/>
          <w:i/>
          <w:iCs/>
          <w:noProof/>
          <w:sz w:val="24"/>
        </w:rPr>
        <w:lastRenderedPageBreak/>
        <w:t>Anesthesia, Analgesia and Critical Care</w:t>
      </w:r>
      <w:r w:rsidRPr="002B5B58">
        <w:rPr>
          <w:rFonts w:ascii="Book Antiqua" w:hAnsi="Book Antiqua" w:cs="Times New Roman"/>
          <w:noProof/>
          <w:sz w:val="24"/>
        </w:rPr>
        <w:t xml:space="preserve">, </w:t>
      </w:r>
      <w:r w:rsidRPr="002B5B58">
        <w:rPr>
          <w:rFonts w:ascii="Book Antiqua" w:hAnsi="Book Antiqua" w:cs="Times New Roman"/>
          <w:i/>
          <w:iCs/>
          <w:noProof/>
          <w:sz w:val="24"/>
        </w:rPr>
        <w:t>3</w:t>
      </w:r>
      <w:r w:rsidRPr="002B5B58">
        <w:rPr>
          <w:rFonts w:ascii="Book Antiqua" w:hAnsi="Book Antiqua" w:cs="Times New Roman"/>
          <w:noProof/>
          <w:sz w:val="24"/>
        </w:rPr>
        <w:t>(1). https://doi.org/10.1186/s44158-023-00118-2</w:t>
      </w:r>
    </w:p>
    <w:p w14:paraId="68B0720C" w14:textId="77777777" w:rsidR="002B5B58" w:rsidRPr="002B5B58" w:rsidRDefault="002B5B58" w:rsidP="005350CD">
      <w:pPr>
        <w:widowControl w:val="0"/>
        <w:autoSpaceDE w:val="0"/>
        <w:autoSpaceDN w:val="0"/>
        <w:adjustRightInd w:val="0"/>
        <w:spacing w:after="0" w:line="240" w:lineRule="auto"/>
        <w:ind w:left="480" w:hanging="480"/>
        <w:jc w:val="both"/>
        <w:rPr>
          <w:rFonts w:ascii="Book Antiqua" w:hAnsi="Book Antiqua" w:cs="Times New Roman"/>
          <w:noProof/>
          <w:sz w:val="24"/>
        </w:rPr>
      </w:pPr>
      <w:r w:rsidRPr="002B5B58">
        <w:rPr>
          <w:rFonts w:ascii="Book Antiqua" w:hAnsi="Book Antiqua" w:cs="Times New Roman"/>
          <w:noProof/>
          <w:sz w:val="24"/>
        </w:rPr>
        <w:t xml:space="preserve">Darling-Hammond, L., Flook, L., Cook-Harvey, C., Barron, B., &amp; Osher, D. (2020). Implications for educational practice of the science of learning and development. </w:t>
      </w:r>
      <w:r w:rsidRPr="002B5B58">
        <w:rPr>
          <w:rFonts w:ascii="Book Antiqua" w:hAnsi="Book Antiqua" w:cs="Times New Roman"/>
          <w:i/>
          <w:iCs/>
          <w:noProof/>
          <w:sz w:val="24"/>
        </w:rPr>
        <w:t>Applied Developmental Science</w:t>
      </w:r>
      <w:r w:rsidRPr="002B5B58">
        <w:rPr>
          <w:rFonts w:ascii="Book Antiqua" w:hAnsi="Book Antiqua" w:cs="Times New Roman"/>
          <w:noProof/>
          <w:sz w:val="24"/>
        </w:rPr>
        <w:t xml:space="preserve">, </w:t>
      </w:r>
      <w:r w:rsidRPr="002B5B58">
        <w:rPr>
          <w:rFonts w:ascii="Book Antiqua" w:hAnsi="Book Antiqua" w:cs="Times New Roman"/>
          <w:i/>
          <w:iCs/>
          <w:noProof/>
          <w:sz w:val="24"/>
        </w:rPr>
        <w:t>24</w:t>
      </w:r>
      <w:r w:rsidRPr="002B5B58">
        <w:rPr>
          <w:rFonts w:ascii="Book Antiqua" w:hAnsi="Book Antiqua" w:cs="Times New Roman"/>
          <w:noProof/>
          <w:sz w:val="24"/>
        </w:rPr>
        <w:t>(2), 97–140. https://doi.org/10.1080/10888691.2018.1537791</w:t>
      </w:r>
    </w:p>
    <w:p w14:paraId="5414190A" w14:textId="77777777" w:rsidR="002B5B58" w:rsidRPr="002B5B58" w:rsidRDefault="002B5B58" w:rsidP="005350CD">
      <w:pPr>
        <w:widowControl w:val="0"/>
        <w:autoSpaceDE w:val="0"/>
        <w:autoSpaceDN w:val="0"/>
        <w:adjustRightInd w:val="0"/>
        <w:spacing w:after="0" w:line="240" w:lineRule="auto"/>
        <w:ind w:left="480" w:hanging="480"/>
        <w:jc w:val="both"/>
        <w:rPr>
          <w:rFonts w:ascii="Book Antiqua" w:hAnsi="Book Antiqua" w:cs="Times New Roman"/>
          <w:noProof/>
          <w:sz w:val="24"/>
        </w:rPr>
      </w:pPr>
      <w:r w:rsidRPr="002B5B58">
        <w:rPr>
          <w:rFonts w:ascii="Book Antiqua" w:hAnsi="Book Antiqua" w:cs="Times New Roman"/>
          <w:noProof/>
          <w:sz w:val="24"/>
        </w:rPr>
        <w:t xml:space="preserve">Di Fuccio, R., Ponticorvo, M., Nadim, M. A., &amp; Limone, P. (2025). Exploring the effect of digital and multisensory educational materials on retention in primary school using Tangible User Interfaces. </w:t>
      </w:r>
      <w:r w:rsidRPr="002B5B58">
        <w:rPr>
          <w:rFonts w:ascii="Book Antiqua" w:hAnsi="Book Antiqua" w:cs="Times New Roman"/>
          <w:i/>
          <w:iCs/>
          <w:noProof/>
          <w:sz w:val="24"/>
        </w:rPr>
        <w:t>Interactive Learning Environments</w:t>
      </w:r>
      <w:r w:rsidRPr="002B5B58">
        <w:rPr>
          <w:rFonts w:ascii="Book Antiqua" w:hAnsi="Book Antiqua" w:cs="Times New Roman"/>
          <w:noProof/>
          <w:sz w:val="24"/>
        </w:rPr>
        <w:t xml:space="preserve">, </w:t>
      </w:r>
      <w:r w:rsidRPr="002B5B58">
        <w:rPr>
          <w:rFonts w:ascii="Book Antiqua" w:hAnsi="Book Antiqua" w:cs="Times New Roman"/>
          <w:i/>
          <w:iCs/>
          <w:noProof/>
          <w:sz w:val="24"/>
        </w:rPr>
        <w:t>33</w:t>
      </w:r>
      <w:r w:rsidRPr="002B5B58">
        <w:rPr>
          <w:rFonts w:ascii="Book Antiqua" w:hAnsi="Book Antiqua" w:cs="Times New Roman"/>
          <w:noProof/>
          <w:sz w:val="24"/>
        </w:rPr>
        <w:t>(4), 2928–2938. https://doi.org/10.1080/10494820.2024.2427277</w:t>
      </w:r>
    </w:p>
    <w:p w14:paraId="221176F1" w14:textId="77777777" w:rsidR="002B5B58" w:rsidRPr="002B5B58" w:rsidRDefault="002B5B58" w:rsidP="005350CD">
      <w:pPr>
        <w:widowControl w:val="0"/>
        <w:autoSpaceDE w:val="0"/>
        <w:autoSpaceDN w:val="0"/>
        <w:adjustRightInd w:val="0"/>
        <w:spacing w:after="0" w:line="240" w:lineRule="auto"/>
        <w:ind w:left="480" w:hanging="480"/>
        <w:jc w:val="both"/>
        <w:rPr>
          <w:rFonts w:ascii="Book Antiqua" w:hAnsi="Book Antiqua" w:cs="Times New Roman"/>
          <w:noProof/>
          <w:sz w:val="24"/>
        </w:rPr>
      </w:pPr>
      <w:r w:rsidRPr="002B5B58">
        <w:rPr>
          <w:rFonts w:ascii="Book Antiqua" w:hAnsi="Book Antiqua" w:cs="Times New Roman"/>
          <w:noProof/>
          <w:sz w:val="24"/>
        </w:rPr>
        <w:t xml:space="preserve">Durgungoz, F. C., &amp; Durgungoz, A. (2025). “Interactive lessons are great, but too much is too much”: Hearing out neurodivergent students, Universal Design for Learning and the case for integrating more anonymous technology in higher education. </w:t>
      </w:r>
      <w:r w:rsidRPr="002B5B58">
        <w:rPr>
          <w:rFonts w:ascii="Book Antiqua" w:hAnsi="Book Antiqua" w:cs="Times New Roman"/>
          <w:i/>
          <w:iCs/>
          <w:noProof/>
          <w:sz w:val="24"/>
        </w:rPr>
        <w:t>Higher Education</w:t>
      </w:r>
      <w:r w:rsidRPr="002B5B58">
        <w:rPr>
          <w:rFonts w:ascii="Book Antiqua" w:hAnsi="Book Antiqua" w:cs="Times New Roman"/>
          <w:noProof/>
          <w:sz w:val="24"/>
        </w:rPr>
        <w:t>, (0123456789). https://doi.org/10.1007/s10734-024-01389-6</w:t>
      </w:r>
    </w:p>
    <w:p w14:paraId="130CBB05" w14:textId="326CA608" w:rsidR="002B5B58" w:rsidRPr="002B5B58" w:rsidRDefault="002B5B58" w:rsidP="005350CD">
      <w:pPr>
        <w:widowControl w:val="0"/>
        <w:autoSpaceDE w:val="0"/>
        <w:autoSpaceDN w:val="0"/>
        <w:adjustRightInd w:val="0"/>
        <w:spacing w:after="0" w:line="240" w:lineRule="auto"/>
        <w:ind w:left="480" w:hanging="480"/>
        <w:jc w:val="both"/>
        <w:rPr>
          <w:rFonts w:ascii="Book Antiqua" w:hAnsi="Book Antiqua" w:cs="Times New Roman"/>
          <w:noProof/>
          <w:sz w:val="24"/>
        </w:rPr>
      </w:pPr>
      <w:r w:rsidRPr="002B5B58">
        <w:rPr>
          <w:rFonts w:ascii="Book Antiqua" w:hAnsi="Book Antiqua" w:cs="Times New Roman"/>
          <w:noProof/>
          <w:sz w:val="24"/>
        </w:rPr>
        <w:t>Gupta, A., Brooks, R., &amp; Abrahams, J. (2025). Higher education students as consumers: a cross-country comparative analysis of students</w:t>
      </w:r>
      <w:r w:rsidR="008018ED">
        <w:rPr>
          <w:rFonts w:ascii="Book Antiqua" w:hAnsi="Book Antiqua" w:cs="Times New Roman"/>
          <w:noProof/>
          <w:sz w:val="24"/>
        </w:rPr>
        <w:t>’</w:t>
      </w:r>
      <w:r w:rsidRPr="002B5B58">
        <w:rPr>
          <w:rFonts w:ascii="Book Antiqua" w:hAnsi="Book Antiqua" w:cs="Times New Roman"/>
          <w:noProof/>
          <w:sz w:val="24"/>
        </w:rPr>
        <w:t xml:space="preserve"> views. </w:t>
      </w:r>
      <w:r w:rsidRPr="002B5B58">
        <w:rPr>
          <w:rFonts w:ascii="Book Antiqua" w:hAnsi="Book Antiqua" w:cs="Times New Roman"/>
          <w:i/>
          <w:iCs/>
          <w:noProof/>
          <w:sz w:val="24"/>
        </w:rPr>
        <w:t>Compare</w:t>
      </w:r>
      <w:r w:rsidRPr="002B5B58">
        <w:rPr>
          <w:rFonts w:ascii="Book Antiqua" w:hAnsi="Book Antiqua" w:cs="Times New Roman"/>
          <w:noProof/>
          <w:sz w:val="24"/>
        </w:rPr>
        <w:t xml:space="preserve">, </w:t>
      </w:r>
      <w:r w:rsidRPr="002B5B58">
        <w:rPr>
          <w:rFonts w:ascii="Book Antiqua" w:hAnsi="Book Antiqua" w:cs="Times New Roman"/>
          <w:i/>
          <w:iCs/>
          <w:noProof/>
          <w:sz w:val="24"/>
        </w:rPr>
        <w:t>55</w:t>
      </w:r>
      <w:r w:rsidRPr="002B5B58">
        <w:rPr>
          <w:rFonts w:ascii="Book Antiqua" w:hAnsi="Book Antiqua" w:cs="Times New Roman"/>
          <w:noProof/>
          <w:sz w:val="24"/>
        </w:rPr>
        <w:t>(2), 174–191. https://doi.org/10.1080/03057925.2023.2234283</w:t>
      </w:r>
    </w:p>
    <w:p w14:paraId="6A6F5C85" w14:textId="77777777" w:rsidR="002B5B58" w:rsidRPr="002B5B58" w:rsidRDefault="002B5B58" w:rsidP="005350CD">
      <w:pPr>
        <w:widowControl w:val="0"/>
        <w:autoSpaceDE w:val="0"/>
        <w:autoSpaceDN w:val="0"/>
        <w:adjustRightInd w:val="0"/>
        <w:spacing w:after="0" w:line="240" w:lineRule="auto"/>
        <w:ind w:left="480" w:hanging="480"/>
        <w:jc w:val="both"/>
        <w:rPr>
          <w:rFonts w:ascii="Book Antiqua" w:hAnsi="Book Antiqua" w:cs="Times New Roman"/>
          <w:noProof/>
          <w:sz w:val="24"/>
        </w:rPr>
      </w:pPr>
      <w:r w:rsidRPr="002B5B58">
        <w:rPr>
          <w:rFonts w:ascii="Book Antiqua" w:hAnsi="Book Antiqua" w:cs="Times New Roman"/>
          <w:noProof/>
          <w:sz w:val="24"/>
        </w:rPr>
        <w:t xml:space="preserve">Gupta, V. (2026). AI Experimentation Policy for Libraries: Balancing Innovation and Data Privacy. </w:t>
      </w:r>
      <w:r w:rsidRPr="002B5B58">
        <w:rPr>
          <w:rFonts w:ascii="Book Antiqua" w:hAnsi="Book Antiqua" w:cs="Times New Roman"/>
          <w:i/>
          <w:iCs/>
          <w:noProof/>
          <w:sz w:val="24"/>
        </w:rPr>
        <w:t>Public Library Quarterly</w:t>
      </w:r>
      <w:r w:rsidRPr="002B5B58">
        <w:rPr>
          <w:rFonts w:ascii="Book Antiqua" w:hAnsi="Book Antiqua" w:cs="Times New Roman"/>
          <w:noProof/>
          <w:sz w:val="24"/>
        </w:rPr>
        <w:t xml:space="preserve">, </w:t>
      </w:r>
      <w:r w:rsidRPr="002B5B58">
        <w:rPr>
          <w:rFonts w:ascii="Book Antiqua" w:hAnsi="Book Antiqua" w:cs="Times New Roman"/>
          <w:i/>
          <w:iCs/>
          <w:noProof/>
          <w:sz w:val="24"/>
        </w:rPr>
        <w:t>45</w:t>
      </w:r>
      <w:r w:rsidRPr="002B5B58">
        <w:rPr>
          <w:rFonts w:ascii="Book Antiqua" w:hAnsi="Book Antiqua" w:cs="Times New Roman"/>
          <w:noProof/>
          <w:sz w:val="24"/>
        </w:rPr>
        <w:t>(1), 9–29. https://doi.org/10.1080/01616846.2024.2445356</w:t>
      </w:r>
    </w:p>
    <w:p w14:paraId="4D3D52E0" w14:textId="77777777" w:rsidR="002B5B58" w:rsidRPr="002B5B58" w:rsidRDefault="002B5B58" w:rsidP="005350CD">
      <w:pPr>
        <w:widowControl w:val="0"/>
        <w:autoSpaceDE w:val="0"/>
        <w:autoSpaceDN w:val="0"/>
        <w:adjustRightInd w:val="0"/>
        <w:spacing w:after="0" w:line="240" w:lineRule="auto"/>
        <w:ind w:left="480" w:hanging="480"/>
        <w:jc w:val="both"/>
        <w:rPr>
          <w:rFonts w:ascii="Book Antiqua" w:hAnsi="Book Antiqua" w:cs="Times New Roman"/>
          <w:noProof/>
          <w:sz w:val="24"/>
        </w:rPr>
      </w:pPr>
      <w:r w:rsidRPr="002B5B58">
        <w:rPr>
          <w:rFonts w:ascii="Book Antiqua" w:hAnsi="Book Antiqua" w:cs="Times New Roman"/>
          <w:noProof/>
          <w:sz w:val="24"/>
        </w:rPr>
        <w:t xml:space="preserve">Gyaurov, D., Fabricatore, C., &amp; Bottino, A. (2022). Features of Entertainment Digital Games for Learning and Developing Complex Problem-Solving Skills: A Protocol for a Systemic Review. </w:t>
      </w:r>
      <w:r w:rsidRPr="002B5B58">
        <w:rPr>
          <w:rFonts w:ascii="Book Antiqua" w:hAnsi="Book Antiqua" w:cs="Times New Roman"/>
          <w:i/>
          <w:iCs/>
          <w:noProof/>
          <w:sz w:val="24"/>
        </w:rPr>
        <w:t>International Journal of Qualitative Methods</w:t>
      </w:r>
      <w:r w:rsidRPr="002B5B58">
        <w:rPr>
          <w:rFonts w:ascii="Book Antiqua" w:hAnsi="Book Antiqua" w:cs="Times New Roman"/>
          <w:noProof/>
          <w:sz w:val="24"/>
        </w:rPr>
        <w:t xml:space="preserve">, </w:t>
      </w:r>
      <w:r w:rsidRPr="002B5B58">
        <w:rPr>
          <w:rFonts w:ascii="Book Antiqua" w:hAnsi="Book Antiqua" w:cs="Times New Roman"/>
          <w:i/>
          <w:iCs/>
          <w:noProof/>
          <w:sz w:val="24"/>
        </w:rPr>
        <w:t>21</w:t>
      </w:r>
      <w:r w:rsidRPr="002B5B58">
        <w:rPr>
          <w:rFonts w:ascii="Book Antiqua" w:hAnsi="Book Antiqua" w:cs="Times New Roman"/>
          <w:noProof/>
          <w:sz w:val="24"/>
        </w:rPr>
        <w:t>, 1–9. https://doi.org/10.1177/16094069221128491</w:t>
      </w:r>
    </w:p>
    <w:p w14:paraId="44A13F2E" w14:textId="77777777" w:rsidR="002B5B58" w:rsidRPr="002B5B58" w:rsidRDefault="002B5B58" w:rsidP="005350CD">
      <w:pPr>
        <w:widowControl w:val="0"/>
        <w:autoSpaceDE w:val="0"/>
        <w:autoSpaceDN w:val="0"/>
        <w:adjustRightInd w:val="0"/>
        <w:spacing w:after="0" w:line="240" w:lineRule="auto"/>
        <w:ind w:left="480" w:hanging="480"/>
        <w:jc w:val="both"/>
        <w:rPr>
          <w:rFonts w:ascii="Book Antiqua" w:hAnsi="Book Antiqua" w:cs="Times New Roman"/>
          <w:noProof/>
          <w:sz w:val="24"/>
        </w:rPr>
      </w:pPr>
      <w:r w:rsidRPr="002B5B58">
        <w:rPr>
          <w:rFonts w:ascii="Book Antiqua" w:hAnsi="Book Antiqua" w:cs="Times New Roman"/>
          <w:noProof/>
          <w:sz w:val="24"/>
        </w:rPr>
        <w:t xml:space="preserve">Hansen, K. B. (2020). The virtue of simplicity: On machine learning models in algorithmic trading. </w:t>
      </w:r>
      <w:r w:rsidRPr="002B5B58">
        <w:rPr>
          <w:rFonts w:ascii="Book Antiqua" w:hAnsi="Book Antiqua" w:cs="Times New Roman"/>
          <w:i/>
          <w:iCs/>
          <w:noProof/>
          <w:sz w:val="24"/>
        </w:rPr>
        <w:t>Big Data and Society</w:t>
      </w:r>
      <w:r w:rsidRPr="002B5B58">
        <w:rPr>
          <w:rFonts w:ascii="Book Antiqua" w:hAnsi="Book Antiqua" w:cs="Times New Roman"/>
          <w:noProof/>
          <w:sz w:val="24"/>
        </w:rPr>
        <w:t xml:space="preserve">, </w:t>
      </w:r>
      <w:r w:rsidRPr="002B5B58">
        <w:rPr>
          <w:rFonts w:ascii="Book Antiqua" w:hAnsi="Book Antiqua" w:cs="Times New Roman"/>
          <w:i/>
          <w:iCs/>
          <w:noProof/>
          <w:sz w:val="24"/>
        </w:rPr>
        <w:t>7</w:t>
      </w:r>
      <w:r w:rsidRPr="002B5B58">
        <w:rPr>
          <w:rFonts w:ascii="Book Antiqua" w:hAnsi="Book Antiqua" w:cs="Times New Roman"/>
          <w:noProof/>
          <w:sz w:val="24"/>
        </w:rPr>
        <w:t>(1). https://doi.org/10.1177/2053951720926558</w:t>
      </w:r>
    </w:p>
    <w:p w14:paraId="79019F73" w14:textId="5948E84C" w:rsidR="002B5B58" w:rsidRPr="002B5B58" w:rsidRDefault="002B5B58" w:rsidP="005350CD">
      <w:pPr>
        <w:widowControl w:val="0"/>
        <w:autoSpaceDE w:val="0"/>
        <w:autoSpaceDN w:val="0"/>
        <w:adjustRightInd w:val="0"/>
        <w:spacing w:after="0" w:line="240" w:lineRule="auto"/>
        <w:ind w:left="480" w:hanging="480"/>
        <w:jc w:val="both"/>
        <w:rPr>
          <w:rFonts w:ascii="Book Antiqua" w:hAnsi="Book Antiqua" w:cs="Times New Roman"/>
          <w:noProof/>
          <w:sz w:val="24"/>
        </w:rPr>
      </w:pPr>
      <w:r w:rsidRPr="002B5B58">
        <w:rPr>
          <w:rFonts w:ascii="Book Antiqua" w:hAnsi="Book Antiqua" w:cs="Times New Roman"/>
          <w:noProof/>
          <w:sz w:val="24"/>
        </w:rPr>
        <w:t>Hartikainen, J., Haapala, E. A., Poikkeus, A. M., Sääkslahti, A., Laukkanen, A., Gao, Y., &amp; Finni, T. (2023). Classroom-based physical activity and teachers</w:t>
      </w:r>
      <w:r w:rsidR="008018ED">
        <w:rPr>
          <w:rFonts w:ascii="Book Antiqua" w:hAnsi="Book Antiqua" w:cs="Times New Roman"/>
          <w:noProof/>
          <w:sz w:val="24"/>
        </w:rPr>
        <w:t>’</w:t>
      </w:r>
      <w:r w:rsidRPr="002B5B58">
        <w:rPr>
          <w:rFonts w:ascii="Book Antiqua" w:hAnsi="Book Antiqua" w:cs="Times New Roman"/>
          <w:noProof/>
          <w:sz w:val="24"/>
        </w:rPr>
        <w:t xml:space="preserve"> instructions on students</w:t>
      </w:r>
      <w:r w:rsidR="008018ED">
        <w:rPr>
          <w:rFonts w:ascii="Book Antiqua" w:hAnsi="Book Antiqua" w:cs="Times New Roman"/>
          <w:noProof/>
          <w:sz w:val="24"/>
        </w:rPr>
        <w:t>’</w:t>
      </w:r>
      <w:r w:rsidRPr="002B5B58">
        <w:rPr>
          <w:rFonts w:ascii="Book Antiqua" w:hAnsi="Book Antiqua" w:cs="Times New Roman"/>
          <w:noProof/>
          <w:sz w:val="24"/>
        </w:rPr>
        <w:t xml:space="preserve"> movement in conventional classrooms and open learning spaces. </w:t>
      </w:r>
      <w:r w:rsidRPr="002B5B58">
        <w:rPr>
          <w:rFonts w:ascii="Book Antiqua" w:hAnsi="Book Antiqua" w:cs="Times New Roman"/>
          <w:i/>
          <w:iCs/>
          <w:noProof/>
          <w:sz w:val="24"/>
        </w:rPr>
        <w:t>Learning Environments Research</w:t>
      </w:r>
      <w:r w:rsidRPr="002B5B58">
        <w:rPr>
          <w:rFonts w:ascii="Book Antiqua" w:hAnsi="Book Antiqua" w:cs="Times New Roman"/>
          <w:noProof/>
          <w:sz w:val="24"/>
        </w:rPr>
        <w:t xml:space="preserve">, </w:t>
      </w:r>
      <w:r w:rsidRPr="002B5B58">
        <w:rPr>
          <w:rFonts w:ascii="Book Antiqua" w:hAnsi="Book Antiqua" w:cs="Times New Roman"/>
          <w:i/>
          <w:iCs/>
          <w:noProof/>
          <w:sz w:val="24"/>
        </w:rPr>
        <w:t>26</w:t>
      </w:r>
      <w:r w:rsidRPr="002B5B58">
        <w:rPr>
          <w:rFonts w:ascii="Book Antiqua" w:hAnsi="Book Antiqua" w:cs="Times New Roman"/>
          <w:noProof/>
          <w:sz w:val="24"/>
        </w:rPr>
        <w:t>(1), 177–198. https://doi.org/10.1007/s10984-022-09411-3</w:t>
      </w:r>
    </w:p>
    <w:p w14:paraId="4E4EF384" w14:textId="77777777" w:rsidR="002B5B58" w:rsidRPr="002B5B58" w:rsidRDefault="002B5B58" w:rsidP="005350CD">
      <w:pPr>
        <w:widowControl w:val="0"/>
        <w:autoSpaceDE w:val="0"/>
        <w:autoSpaceDN w:val="0"/>
        <w:adjustRightInd w:val="0"/>
        <w:spacing w:after="0" w:line="240" w:lineRule="auto"/>
        <w:ind w:left="480" w:hanging="480"/>
        <w:jc w:val="both"/>
        <w:rPr>
          <w:rFonts w:ascii="Book Antiqua" w:hAnsi="Book Antiqua" w:cs="Times New Roman"/>
          <w:noProof/>
          <w:sz w:val="24"/>
        </w:rPr>
      </w:pPr>
      <w:r w:rsidRPr="002B5B58">
        <w:rPr>
          <w:rFonts w:ascii="Book Antiqua" w:hAnsi="Book Antiqua" w:cs="Times New Roman"/>
          <w:noProof/>
          <w:sz w:val="24"/>
        </w:rPr>
        <w:t xml:space="preserve">Jensen, S. F., Kristensen, J. H., Adamsen, S., Christensen, A., &amp; Waehrens, B. V. (2023). Digital product passports for a circular economy: Data needs for product life cycle decision-making. </w:t>
      </w:r>
      <w:r w:rsidRPr="002B5B58">
        <w:rPr>
          <w:rFonts w:ascii="Book Antiqua" w:hAnsi="Book Antiqua" w:cs="Times New Roman"/>
          <w:i/>
          <w:iCs/>
          <w:noProof/>
          <w:sz w:val="24"/>
        </w:rPr>
        <w:t>Sustainable Production and Consumption</w:t>
      </w:r>
      <w:r w:rsidRPr="002B5B58">
        <w:rPr>
          <w:rFonts w:ascii="Book Antiqua" w:hAnsi="Book Antiqua" w:cs="Times New Roman"/>
          <w:noProof/>
          <w:sz w:val="24"/>
        </w:rPr>
        <w:t xml:space="preserve">, </w:t>
      </w:r>
      <w:r w:rsidRPr="002B5B58">
        <w:rPr>
          <w:rFonts w:ascii="Book Antiqua" w:hAnsi="Book Antiqua" w:cs="Times New Roman"/>
          <w:i/>
          <w:iCs/>
          <w:noProof/>
          <w:sz w:val="24"/>
        </w:rPr>
        <w:t>37</w:t>
      </w:r>
      <w:r w:rsidRPr="002B5B58">
        <w:rPr>
          <w:rFonts w:ascii="Book Antiqua" w:hAnsi="Book Antiqua" w:cs="Times New Roman"/>
          <w:noProof/>
          <w:sz w:val="24"/>
        </w:rPr>
        <w:t>, 242–255. https://doi.org/10.1016/j.spc.2023.02.021</w:t>
      </w:r>
    </w:p>
    <w:p w14:paraId="45E0E8CB" w14:textId="77777777" w:rsidR="002B5B58" w:rsidRPr="002B5B58" w:rsidRDefault="002B5B58" w:rsidP="005350CD">
      <w:pPr>
        <w:widowControl w:val="0"/>
        <w:autoSpaceDE w:val="0"/>
        <w:autoSpaceDN w:val="0"/>
        <w:adjustRightInd w:val="0"/>
        <w:spacing w:after="0" w:line="240" w:lineRule="auto"/>
        <w:ind w:left="480" w:hanging="480"/>
        <w:jc w:val="both"/>
        <w:rPr>
          <w:rFonts w:ascii="Book Antiqua" w:hAnsi="Book Antiqua" w:cs="Times New Roman"/>
          <w:noProof/>
          <w:sz w:val="24"/>
        </w:rPr>
      </w:pPr>
      <w:r w:rsidRPr="002B5B58">
        <w:rPr>
          <w:rFonts w:ascii="Book Antiqua" w:hAnsi="Book Antiqua" w:cs="Times New Roman"/>
          <w:noProof/>
          <w:sz w:val="24"/>
        </w:rPr>
        <w:t xml:space="preserve">Klaic, M., Kapp, S., Hudson, P., Chapman, W., Denehy, L., Story, D., &amp; Francis, J. J. (2022). Implementability of healthcare interventions: an overview of reviews and development of a conceptual framework. </w:t>
      </w:r>
      <w:r w:rsidRPr="002B5B58">
        <w:rPr>
          <w:rFonts w:ascii="Book Antiqua" w:hAnsi="Book Antiqua" w:cs="Times New Roman"/>
          <w:i/>
          <w:iCs/>
          <w:noProof/>
          <w:sz w:val="24"/>
        </w:rPr>
        <w:t>Implementation Science</w:t>
      </w:r>
      <w:r w:rsidRPr="002B5B58">
        <w:rPr>
          <w:rFonts w:ascii="Book Antiqua" w:hAnsi="Book Antiqua" w:cs="Times New Roman"/>
          <w:noProof/>
          <w:sz w:val="24"/>
        </w:rPr>
        <w:t xml:space="preserve">, </w:t>
      </w:r>
      <w:r w:rsidRPr="002B5B58">
        <w:rPr>
          <w:rFonts w:ascii="Book Antiqua" w:hAnsi="Book Antiqua" w:cs="Times New Roman"/>
          <w:i/>
          <w:iCs/>
          <w:noProof/>
          <w:sz w:val="24"/>
        </w:rPr>
        <w:t>17</w:t>
      </w:r>
      <w:r w:rsidRPr="002B5B58">
        <w:rPr>
          <w:rFonts w:ascii="Book Antiqua" w:hAnsi="Book Antiqua" w:cs="Times New Roman"/>
          <w:noProof/>
          <w:sz w:val="24"/>
        </w:rPr>
        <w:t>(1), 1–20. https://doi.org/10.1186/s13012-021-01171-7</w:t>
      </w:r>
    </w:p>
    <w:p w14:paraId="604F856B" w14:textId="77777777" w:rsidR="002B5B58" w:rsidRPr="002B5B58" w:rsidRDefault="002B5B58" w:rsidP="005350CD">
      <w:pPr>
        <w:widowControl w:val="0"/>
        <w:autoSpaceDE w:val="0"/>
        <w:autoSpaceDN w:val="0"/>
        <w:adjustRightInd w:val="0"/>
        <w:spacing w:after="0" w:line="240" w:lineRule="auto"/>
        <w:ind w:left="480" w:hanging="480"/>
        <w:jc w:val="both"/>
        <w:rPr>
          <w:rFonts w:ascii="Book Antiqua" w:hAnsi="Book Antiqua" w:cs="Times New Roman"/>
          <w:noProof/>
          <w:sz w:val="24"/>
        </w:rPr>
      </w:pPr>
      <w:r w:rsidRPr="002B5B58">
        <w:rPr>
          <w:rFonts w:ascii="Book Antiqua" w:hAnsi="Book Antiqua" w:cs="Times New Roman"/>
          <w:noProof/>
          <w:sz w:val="24"/>
        </w:rPr>
        <w:t xml:space="preserve">Kruachottikul, P., Dumrongvute, P., Tea-makorn, P., Kittikowit, S., &amp; Amrapala, A. (2023). New product development process and case studies for deep-tech academic research to commercialization. </w:t>
      </w:r>
      <w:r w:rsidRPr="002B5B58">
        <w:rPr>
          <w:rFonts w:ascii="Book Antiqua" w:hAnsi="Book Antiqua" w:cs="Times New Roman"/>
          <w:i/>
          <w:iCs/>
          <w:noProof/>
          <w:sz w:val="24"/>
        </w:rPr>
        <w:t xml:space="preserve">Journal of Innovation and </w:t>
      </w:r>
      <w:r w:rsidRPr="002B5B58">
        <w:rPr>
          <w:rFonts w:ascii="Book Antiqua" w:hAnsi="Book Antiqua" w:cs="Times New Roman"/>
          <w:i/>
          <w:iCs/>
          <w:noProof/>
          <w:sz w:val="24"/>
        </w:rPr>
        <w:lastRenderedPageBreak/>
        <w:t>Entrepreneurship</w:t>
      </w:r>
      <w:r w:rsidRPr="002B5B58">
        <w:rPr>
          <w:rFonts w:ascii="Book Antiqua" w:hAnsi="Book Antiqua" w:cs="Times New Roman"/>
          <w:noProof/>
          <w:sz w:val="24"/>
        </w:rPr>
        <w:t xml:space="preserve">, </w:t>
      </w:r>
      <w:r w:rsidRPr="002B5B58">
        <w:rPr>
          <w:rFonts w:ascii="Book Antiqua" w:hAnsi="Book Antiqua" w:cs="Times New Roman"/>
          <w:i/>
          <w:iCs/>
          <w:noProof/>
          <w:sz w:val="24"/>
        </w:rPr>
        <w:t>12</w:t>
      </w:r>
      <w:r w:rsidRPr="002B5B58">
        <w:rPr>
          <w:rFonts w:ascii="Book Antiqua" w:hAnsi="Book Antiqua" w:cs="Times New Roman"/>
          <w:noProof/>
          <w:sz w:val="24"/>
        </w:rPr>
        <w:t>(1), 1–25. https://doi.org/10.1186/s13731-023-00311-1</w:t>
      </w:r>
    </w:p>
    <w:p w14:paraId="65BE3342" w14:textId="77777777" w:rsidR="002B5B58" w:rsidRPr="002B5B58" w:rsidRDefault="002B5B58" w:rsidP="005350CD">
      <w:pPr>
        <w:widowControl w:val="0"/>
        <w:autoSpaceDE w:val="0"/>
        <w:autoSpaceDN w:val="0"/>
        <w:adjustRightInd w:val="0"/>
        <w:spacing w:after="0" w:line="240" w:lineRule="auto"/>
        <w:ind w:left="480" w:hanging="480"/>
        <w:jc w:val="both"/>
        <w:rPr>
          <w:rFonts w:ascii="Book Antiqua" w:hAnsi="Book Antiqua" w:cs="Times New Roman"/>
          <w:noProof/>
          <w:sz w:val="24"/>
        </w:rPr>
      </w:pPr>
      <w:r w:rsidRPr="002B5B58">
        <w:rPr>
          <w:rFonts w:ascii="Book Antiqua" w:hAnsi="Book Antiqua" w:cs="Times New Roman"/>
          <w:noProof/>
          <w:sz w:val="24"/>
        </w:rPr>
        <w:t xml:space="preserve">Lakens, D. (2021). The Practical Alternative to the p Value Is the Correctly Used p Value. </w:t>
      </w:r>
      <w:r w:rsidRPr="002B5B58">
        <w:rPr>
          <w:rFonts w:ascii="Book Antiqua" w:hAnsi="Book Antiqua" w:cs="Times New Roman"/>
          <w:i/>
          <w:iCs/>
          <w:noProof/>
          <w:sz w:val="24"/>
        </w:rPr>
        <w:t>Perspectives on Psychological Science</w:t>
      </w:r>
      <w:r w:rsidRPr="002B5B58">
        <w:rPr>
          <w:rFonts w:ascii="Book Antiqua" w:hAnsi="Book Antiqua" w:cs="Times New Roman"/>
          <w:noProof/>
          <w:sz w:val="24"/>
        </w:rPr>
        <w:t xml:space="preserve">, </w:t>
      </w:r>
      <w:r w:rsidRPr="002B5B58">
        <w:rPr>
          <w:rFonts w:ascii="Book Antiqua" w:hAnsi="Book Antiqua" w:cs="Times New Roman"/>
          <w:i/>
          <w:iCs/>
          <w:noProof/>
          <w:sz w:val="24"/>
        </w:rPr>
        <w:t>16</w:t>
      </w:r>
      <w:r w:rsidRPr="002B5B58">
        <w:rPr>
          <w:rFonts w:ascii="Book Antiqua" w:hAnsi="Book Antiqua" w:cs="Times New Roman"/>
          <w:noProof/>
          <w:sz w:val="24"/>
        </w:rPr>
        <w:t>(3), 639–648. https://doi.org/10.1177/1745691620958012</w:t>
      </w:r>
    </w:p>
    <w:p w14:paraId="4CC15F91" w14:textId="77777777" w:rsidR="002B5B58" w:rsidRPr="002B5B58" w:rsidRDefault="002B5B58" w:rsidP="005350CD">
      <w:pPr>
        <w:widowControl w:val="0"/>
        <w:autoSpaceDE w:val="0"/>
        <w:autoSpaceDN w:val="0"/>
        <w:adjustRightInd w:val="0"/>
        <w:spacing w:after="0" w:line="240" w:lineRule="auto"/>
        <w:ind w:left="480" w:hanging="480"/>
        <w:jc w:val="both"/>
        <w:rPr>
          <w:rFonts w:ascii="Book Antiqua" w:hAnsi="Book Antiqua" w:cs="Times New Roman"/>
          <w:noProof/>
          <w:sz w:val="24"/>
        </w:rPr>
      </w:pPr>
      <w:r w:rsidRPr="002B5B58">
        <w:rPr>
          <w:rFonts w:ascii="Book Antiqua" w:hAnsi="Book Antiqua" w:cs="Times New Roman"/>
          <w:noProof/>
          <w:sz w:val="24"/>
        </w:rPr>
        <w:t xml:space="preserve">Lipnevich, A. A., Mattern, K., &amp; Feddock, C. (2026). Formative assessment and feedback in medical education: A practical guide: AMEE Guide No. 189. </w:t>
      </w:r>
      <w:r w:rsidRPr="002B5B58">
        <w:rPr>
          <w:rFonts w:ascii="Book Antiqua" w:hAnsi="Book Antiqua" w:cs="Times New Roman"/>
          <w:i/>
          <w:iCs/>
          <w:noProof/>
          <w:sz w:val="24"/>
        </w:rPr>
        <w:t>Medical Teacher</w:t>
      </w:r>
      <w:r w:rsidRPr="002B5B58">
        <w:rPr>
          <w:rFonts w:ascii="Book Antiqua" w:hAnsi="Book Antiqua" w:cs="Times New Roman"/>
          <w:noProof/>
          <w:sz w:val="24"/>
        </w:rPr>
        <w:t xml:space="preserve">, </w:t>
      </w:r>
      <w:r w:rsidRPr="002B5B58">
        <w:rPr>
          <w:rFonts w:ascii="Book Antiqua" w:hAnsi="Book Antiqua" w:cs="Times New Roman"/>
          <w:i/>
          <w:iCs/>
          <w:noProof/>
          <w:sz w:val="24"/>
        </w:rPr>
        <w:t>48</w:t>
      </w:r>
      <w:r w:rsidRPr="002B5B58">
        <w:rPr>
          <w:rFonts w:ascii="Book Antiqua" w:hAnsi="Book Antiqua" w:cs="Times New Roman"/>
          <w:noProof/>
          <w:sz w:val="24"/>
        </w:rPr>
        <w:t>(6), 921–940. https://doi.org/10.1080/0142159X.2025.2569623</w:t>
      </w:r>
    </w:p>
    <w:p w14:paraId="317C096E" w14:textId="77777777" w:rsidR="002B5B58" w:rsidRPr="002B5B58" w:rsidRDefault="002B5B58" w:rsidP="005350CD">
      <w:pPr>
        <w:widowControl w:val="0"/>
        <w:autoSpaceDE w:val="0"/>
        <w:autoSpaceDN w:val="0"/>
        <w:adjustRightInd w:val="0"/>
        <w:spacing w:after="0" w:line="240" w:lineRule="auto"/>
        <w:ind w:left="480" w:hanging="480"/>
        <w:jc w:val="both"/>
        <w:rPr>
          <w:rFonts w:ascii="Book Antiqua" w:hAnsi="Book Antiqua" w:cs="Times New Roman"/>
          <w:noProof/>
          <w:sz w:val="24"/>
        </w:rPr>
      </w:pPr>
      <w:r w:rsidRPr="002B5B58">
        <w:rPr>
          <w:rFonts w:ascii="Book Antiqua" w:hAnsi="Book Antiqua" w:cs="Times New Roman"/>
          <w:noProof/>
          <w:sz w:val="24"/>
        </w:rPr>
        <w:t xml:space="preserve">Liu, D. (2024). The effects of segmentation on cognitive load, vocabulary learning and retention, and reading comprehension in a multimedia learning environment. </w:t>
      </w:r>
      <w:r w:rsidRPr="002B5B58">
        <w:rPr>
          <w:rFonts w:ascii="Book Antiqua" w:hAnsi="Book Antiqua" w:cs="Times New Roman"/>
          <w:i/>
          <w:iCs/>
          <w:noProof/>
          <w:sz w:val="24"/>
        </w:rPr>
        <w:t>BMC Psychology</w:t>
      </w:r>
      <w:r w:rsidRPr="002B5B58">
        <w:rPr>
          <w:rFonts w:ascii="Book Antiqua" w:hAnsi="Book Antiqua" w:cs="Times New Roman"/>
          <w:noProof/>
          <w:sz w:val="24"/>
        </w:rPr>
        <w:t xml:space="preserve">, </w:t>
      </w:r>
      <w:r w:rsidRPr="002B5B58">
        <w:rPr>
          <w:rFonts w:ascii="Book Antiqua" w:hAnsi="Book Antiqua" w:cs="Times New Roman"/>
          <w:i/>
          <w:iCs/>
          <w:noProof/>
          <w:sz w:val="24"/>
        </w:rPr>
        <w:t>12</w:t>
      </w:r>
      <w:r w:rsidRPr="002B5B58">
        <w:rPr>
          <w:rFonts w:ascii="Book Antiqua" w:hAnsi="Book Antiqua" w:cs="Times New Roman"/>
          <w:noProof/>
          <w:sz w:val="24"/>
        </w:rPr>
        <w:t>(1), 1–12. https://doi.org/10.1186/s40359-023-01489-5</w:t>
      </w:r>
    </w:p>
    <w:p w14:paraId="7E828CEF" w14:textId="77777777" w:rsidR="002B5B58" w:rsidRPr="002B5B58" w:rsidRDefault="002B5B58" w:rsidP="005350CD">
      <w:pPr>
        <w:widowControl w:val="0"/>
        <w:autoSpaceDE w:val="0"/>
        <w:autoSpaceDN w:val="0"/>
        <w:adjustRightInd w:val="0"/>
        <w:spacing w:after="0" w:line="240" w:lineRule="auto"/>
        <w:ind w:left="480" w:hanging="480"/>
        <w:jc w:val="both"/>
        <w:rPr>
          <w:rFonts w:ascii="Book Antiqua" w:hAnsi="Book Antiqua" w:cs="Times New Roman"/>
          <w:noProof/>
          <w:sz w:val="24"/>
        </w:rPr>
      </w:pPr>
      <w:r w:rsidRPr="002B5B58">
        <w:rPr>
          <w:rFonts w:ascii="Book Antiqua" w:hAnsi="Book Antiqua" w:cs="Times New Roman"/>
          <w:noProof/>
          <w:sz w:val="24"/>
        </w:rPr>
        <w:t xml:space="preserve">Ntoa, S. (2025). Usability and User Experience Evaluation in Intelligent Environments: A Review and Reappraisal. </w:t>
      </w:r>
      <w:r w:rsidRPr="002B5B58">
        <w:rPr>
          <w:rFonts w:ascii="Book Antiqua" w:hAnsi="Book Antiqua" w:cs="Times New Roman"/>
          <w:i/>
          <w:iCs/>
          <w:noProof/>
          <w:sz w:val="24"/>
        </w:rPr>
        <w:t>International Journal of Human-Computer Interaction</w:t>
      </w:r>
      <w:r w:rsidRPr="002B5B58">
        <w:rPr>
          <w:rFonts w:ascii="Book Antiqua" w:hAnsi="Book Antiqua" w:cs="Times New Roman"/>
          <w:noProof/>
          <w:sz w:val="24"/>
        </w:rPr>
        <w:t xml:space="preserve">, </w:t>
      </w:r>
      <w:r w:rsidRPr="002B5B58">
        <w:rPr>
          <w:rFonts w:ascii="Book Antiqua" w:hAnsi="Book Antiqua" w:cs="Times New Roman"/>
          <w:i/>
          <w:iCs/>
          <w:noProof/>
          <w:sz w:val="24"/>
        </w:rPr>
        <w:t>41</w:t>
      </w:r>
      <w:r w:rsidRPr="002B5B58">
        <w:rPr>
          <w:rFonts w:ascii="Book Antiqua" w:hAnsi="Book Antiqua" w:cs="Times New Roman"/>
          <w:noProof/>
          <w:sz w:val="24"/>
        </w:rPr>
        <w:t>(5), 2829–2858. https://doi.org/10.1080/10447318.2024.2394724</w:t>
      </w:r>
    </w:p>
    <w:p w14:paraId="7165B411" w14:textId="77777777" w:rsidR="002B5B58" w:rsidRPr="002B5B58" w:rsidRDefault="002B5B58" w:rsidP="005350CD">
      <w:pPr>
        <w:widowControl w:val="0"/>
        <w:autoSpaceDE w:val="0"/>
        <w:autoSpaceDN w:val="0"/>
        <w:adjustRightInd w:val="0"/>
        <w:spacing w:after="0" w:line="240" w:lineRule="auto"/>
        <w:ind w:left="480" w:hanging="480"/>
        <w:jc w:val="both"/>
        <w:rPr>
          <w:rFonts w:ascii="Book Antiqua" w:hAnsi="Book Antiqua" w:cs="Times New Roman"/>
          <w:noProof/>
          <w:sz w:val="24"/>
        </w:rPr>
      </w:pPr>
      <w:r w:rsidRPr="002B5B58">
        <w:rPr>
          <w:rFonts w:ascii="Book Antiqua" w:hAnsi="Book Antiqua" w:cs="Times New Roman"/>
          <w:noProof/>
          <w:sz w:val="24"/>
        </w:rPr>
        <w:t xml:space="preserve">Pennycook, G., McPhetres, J., Zhang, Y., Lu, J. G., &amp; Rand, D. G. (2020). Fighting COVID-19 Misinformation on Social Media: Experimental Evidence for a Scalable Accuracy-Nudge Intervention. </w:t>
      </w:r>
      <w:r w:rsidRPr="002B5B58">
        <w:rPr>
          <w:rFonts w:ascii="Book Antiqua" w:hAnsi="Book Antiqua" w:cs="Times New Roman"/>
          <w:i/>
          <w:iCs/>
          <w:noProof/>
          <w:sz w:val="24"/>
        </w:rPr>
        <w:t>Psychological Science</w:t>
      </w:r>
      <w:r w:rsidRPr="002B5B58">
        <w:rPr>
          <w:rFonts w:ascii="Book Antiqua" w:hAnsi="Book Antiqua" w:cs="Times New Roman"/>
          <w:noProof/>
          <w:sz w:val="24"/>
        </w:rPr>
        <w:t xml:space="preserve">, </w:t>
      </w:r>
      <w:r w:rsidRPr="002B5B58">
        <w:rPr>
          <w:rFonts w:ascii="Book Antiqua" w:hAnsi="Book Antiqua" w:cs="Times New Roman"/>
          <w:i/>
          <w:iCs/>
          <w:noProof/>
          <w:sz w:val="24"/>
        </w:rPr>
        <w:t>31</w:t>
      </w:r>
      <w:r w:rsidRPr="002B5B58">
        <w:rPr>
          <w:rFonts w:ascii="Book Antiqua" w:hAnsi="Book Antiqua" w:cs="Times New Roman"/>
          <w:noProof/>
          <w:sz w:val="24"/>
        </w:rPr>
        <w:t>(7), 770–780. https://doi.org/10.1177/0956797620939054</w:t>
      </w:r>
    </w:p>
    <w:p w14:paraId="65B9EB22" w14:textId="77777777" w:rsidR="002B5B58" w:rsidRPr="002B5B58" w:rsidRDefault="002B5B58" w:rsidP="005350CD">
      <w:pPr>
        <w:widowControl w:val="0"/>
        <w:autoSpaceDE w:val="0"/>
        <w:autoSpaceDN w:val="0"/>
        <w:adjustRightInd w:val="0"/>
        <w:spacing w:after="0" w:line="240" w:lineRule="auto"/>
        <w:ind w:left="480" w:hanging="480"/>
        <w:jc w:val="both"/>
        <w:rPr>
          <w:rFonts w:ascii="Book Antiqua" w:hAnsi="Book Antiqua" w:cs="Times New Roman"/>
          <w:noProof/>
          <w:sz w:val="24"/>
        </w:rPr>
      </w:pPr>
      <w:r w:rsidRPr="002B5B58">
        <w:rPr>
          <w:rFonts w:ascii="Book Antiqua" w:hAnsi="Book Antiqua" w:cs="Times New Roman"/>
          <w:noProof/>
          <w:sz w:val="24"/>
        </w:rPr>
        <w:t xml:space="preserve">Ren, X., Tang, J., Yin, D., Chawla, N., &amp; Huang, C. (2024). A Survey of Large Language Models for Graphs. </w:t>
      </w:r>
      <w:r w:rsidRPr="002B5B58">
        <w:rPr>
          <w:rFonts w:ascii="Book Antiqua" w:hAnsi="Book Antiqua" w:cs="Times New Roman"/>
          <w:i/>
          <w:iCs/>
          <w:noProof/>
          <w:sz w:val="24"/>
        </w:rPr>
        <w:t>Proceedings of the ACM SIGKDD International Conference on Knowledge Discovery and Data Mining</w:t>
      </w:r>
      <w:r w:rsidRPr="002B5B58">
        <w:rPr>
          <w:rFonts w:ascii="Book Antiqua" w:hAnsi="Book Antiqua" w:cs="Times New Roman"/>
          <w:noProof/>
          <w:sz w:val="24"/>
        </w:rPr>
        <w:t xml:space="preserve">, </w:t>
      </w:r>
      <w:r w:rsidRPr="002B5B58">
        <w:rPr>
          <w:rFonts w:ascii="Book Antiqua" w:hAnsi="Book Antiqua" w:cs="Times New Roman"/>
          <w:i/>
          <w:iCs/>
          <w:noProof/>
          <w:sz w:val="24"/>
        </w:rPr>
        <w:t>20</w:t>
      </w:r>
      <w:r w:rsidRPr="002B5B58">
        <w:rPr>
          <w:rFonts w:ascii="Book Antiqua" w:hAnsi="Book Antiqua" w:cs="Times New Roman"/>
          <w:noProof/>
          <w:sz w:val="24"/>
        </w:rPr>
        <w:t>(12), 6616–6626. https://doi.org/10.1145/3637528.3671460</w:t>
      </w:r>
    </w:p>
    <w:p w14:paraId="287E540A" w14:textId="77777777" w:rsidR="002B5B58" w:rsidRPr="002B5B58" w:rsidRDefault="002B5B58" w:rsidP="005350CD">
      <w:pPr>
        <w:widowControl w:val="0"/>
        <w:autoSpaceDE w:val="0"/>
        <w:autoSpaceDN w:val="0"/>
        <w:adjustRightInd w:val="0"/>
        <w:spacing w:after="0" w:line="240" w:lineRule="auto"/>
        <w:ind w:left="480" w:hanging="480"/>
        <w:jc w:val="both"/>
        <w:rPr>
          <w:rFonts w:ascii="Book Antiqua" w:hAnsi="Book Antiqua" w:cs="Times New Roman"/>
          <w:noProof/>
          <w:sz w:val="24"/>
        </w:rPr>
      </w:pPr>
      <w:r w:rsidRPr="002B5B58">
        <w:rPr>
          <w:rFonts w:ascii="Book Antiqua" w:hAnsi="Book Antiqua" w:cs="Times New Roman"/>
          <w:noProof/>
          <w:sz w:val="24"/>
        </w:rPr>
        <w:t xml:space="preserve">Ruiz-Martín, H., &amp; Bybee, R. W. (2022). The cognitive principles of learning underlying the 5E Model of Instruction. </w:t>
      </w:r>
      <w:r w:rsidRPr="002B5B58">
        <w:rPr>
          <w:rFonts w:ascii="Book Antiqua" w:hAnsi="Book Antiqua" w:cs="Times New Roman"/>
          <w:i/>
          <w:iCs/>
          <w:noProof/>
          <w:sz w:val="24"/>
        </w:rPr>
        <w:t>International Journal of STEM Education</w:t>
      </w:r>
      <w:r w:rsidRPr="002B5B58">
        <w:rPr>
          <w:rFonts w:ascii="Book Antiqua" w:hAnsi="Book Antiqua" w:cs="Times New Roman"/>
          <w:noProof/>
          <w:sz w:val="24"/>
        </w:rPr>
        <w:t xml:space="preserve">, </w:t>
      </w:r>
      <w:r w:rsidRPr="002B5B58">
        <w:rPr>
          <w:rFonts w:ascii="Book Antiqua" w:hAnsi="Book Antiqua" w:cs="Times New Roman"/>
          <w:i/>
          <w:iCs/>
          <w:noProof/>
          <w:sz w:val="24"/>
        </w:rPr>
        <w:t>9</w:t>
      </w:r>
      <w:r w:rsidRPr="002B5B58">
        <w:rPr>
          <w:rFonts w:ascii="Book Antiqua" w:hAnsi="Book Antiqua" w:cs="Times New Roman"/>
          <w:noProof/>
          <w:sz w:val="24"/>
        </w:rPr>
        <w:t>(1). https://doi.org/10.1186/s40594-022-00337-z</w:t>
      </w:r>
    </w:p>
    <w:p w14:paraId="116AD190" w14:textId="77777777" w:rsidR="002B5B58" w:rsidRPr="002B5B58" w:rsidRDefault="002B5B58" w:rsidP="005350CD">
      <w:pPr>
        <w:widowControl w:val="0"/>
        <w:autoSpaceDE w:val="0"/>
        <w:autoSpaceDN w:val="0"/>
        <w:adjustRightInd w:val="0"/>
        <w:spacing w:after="0" w:line="240" w:lineRule="auto"/>
        <w:ind w:left="480" w:hanging="480"/>
        <w:jc w:val="both"/>
        <w:rPr>
          <w:rFonts w:ascii="Book Antiqua" w:hAnsi="Book Antiqua" w:cs="Times New Roman"/>
          <w:noProof/>
          <w:sz w:val="24"/>
        </w:rPr>
      </w:pPr>
      <w:r w:rsidRPr="002B5B58">
        <w:rPr>
          <w:rFonts w:ascii="Book Antiqua" w:hAnsi="Book Antiqua" w:cs="Times New Roman"/>
          <w:noProof/>
          <w:sz w:val="24"/>
        </w:rPr>
        <w:t xml:space="preserve">Sathi, T. A., Jany, R., Ela, R. Z., Azad, A. K. M., Alyami, S. A., Hossain, M. A., &amp; Hussain, I. (2024). An interpretable electrocardiogram-based model for predicting arrhythmia and ischemia in cardiovascular disease. </w:t>
      </w:r>
      <w:r w:rsidRPr="002B5B58">
        <w:rPr>
          <w:rFonts w:ascii="Book Antiqua" w:hAnsi="Book Antiqua" w:cs="Times New Roman"/>
          <w:i/>
          <w:iCs/>
          <w:noProof/>
          <w:sz w:val="24"/>
        </w:rPr>
        <w:t>Results in Engineering</w:t>
      </w:r>
      <w:r w:rsidRPr="002B5B58">
        <w:rPr>
          <w:rFonts w:ascii="Book Antiqua" w:hAnsi="Book Antiqua" w:cs="Times New Roman"/>
          <w:noProof/>
          <w:sz w:val="24"/>
        </w:rPr>
        <w:t xml:space="preserve">, </w:t>
      </w:r>
      <w:r w:rsidRPr="002B5B58">
        <w:rPr>
          <w:rFonts w:ascii="Book Antiqua" w:hAnsi="Book Antiqua" w:cs="Times New Roman"/>
          <w:i/>
          <w:iCs/>
          <w:noProof/>
          <w:sz w:val="24"/>
        </w:rPr>
        <w:t>24</w:t>
      </w:r>
      <w:r w:rsidRPr="002B5B58">
        <w:rPr>
          <w:rFonts w:ascii="Book Antiqua" w:hAnsi="Book Antiqua" w:cs="Times New Roman"/>
          <w:noProof/>
          <w:sz w:val="24"/>
        </w:rPr>
        <w:t>(November), 103381. https://doi.org/10.1016/j.rineng.2024.103381</w:t>
      </w:r>
    </w:p>
    <w:p w14:paraId="49F63131" w14:textId="77777777" w:rsidR="002B5B58" w:rsidRPr="002B5B58" w:rsidRDefault="002B5B58" w:rsidP="005350CD">
      <w:pPr>
        <w:widowControl w:val="0"/>
        <w:autoSpaceDE w:val="0"/>
        <w:autoSpaceDN w:val="0"/>
        <w:adjustRightInd w:val="0"/>
        <w:spacing w:after="0" w:line="240" w:lineRule="auto"/>
        <w:ind w:left="480" w:hanging="480"/>
        <w:jc w:val="both"/>
        <w:rPr>
          <w:rFonts w:ascii="Book Antiqua" w:hAnsi="Book Antiqua" w:cs="Times New Roman"/>
          <w:noProof/>
          <w:sz w:val="24"/>
        </w:rPr>
      </w:pPr>
      <w:r w:rsidRPr="002B5B58">
        <w:rPr>
          <w:rFonts w:ascii="Book Antiqua" w:hAnsi="Book Antiqua" w:cs="Times New Roman"/>
          <w:noProof/>
          <w:sz w:val="24"/>
        </w:rPr>
        <w:t xml:space="preserve">Seymour, G., Malapit, H., &amp; Quisumbing, A. (2020). Measuring Time Use in Developing Country Agriculture: Evidence from Bangladesh and Uganda. </w:t>
      </w:r>
      <w:r w:rsidRPr="002B5B58">
        <w:rPr>
          <w:rFonts w:ascii="Book Antiqua" w:hAnsi="Book Antiqua" w:cs="Times New Roman"/>
          <w:i/>
          <w:iCs/>
          <w:noProof/>
          <w:sz w:val="24"/>
        </w:rPr>
        <w:t>Feminist Economics</w:t>
      </w:r>
      <w:r w:rsidRPr="002B5B58">
        <w:rPr>
          <w:rFonts w:ascii="Book Antiqua" w:hAnsi="Book Antiqua" w:cs="Times New Roman"/>
          <w:noProof/>
          <w:sz w:val="24"/>
        </w:rPr>
        <w:t xml:space="preserve">, </w:t>
      </w:r>
      <w:r w:rsidRPr="002B5B58">
        <w:rPr>
          <w:rFonts w:ascii="Book Antiqua" w:hAnsi="Book Antiqua" w:cs="Times New Roman"/>
          <w:i/>
          <w:iCs/>
          <w:noProof/>
          <w:sz w:val="24"/>
        </w:rPr>
        <w:t>26</w:t>
      </w:r>
      <w:r w:rsidRPr="002B5B58">
        <w:rPr>
          <w:rFonts w:ascii="Book Antiqua" w:hAnsi="Book Antiqua" w:cs="Times New Roman"/>
          <w:noProof/>
          <w:sz w:val="24"/>
        </w:rPr>
        <w:t>(3), 169–199. https://doi.org/10.1080/13545701.2020.1749867</w:t>
      </w:r>
    </w:p>
    <w:p w14:paraId="04CA0144" w14:textId="77777777" w:rsidR="002B5B58" w:rsidRPr="002B5B58" w:rsidRDefault="002B5B58" w:rsidP="005350CD">
      <w:pPr>
        <w:widowControl w:val="0"/>
        <w:autoSpaceDE w:val="0"/>
        <w:autoSpaceDN w:val="0"/>
        <w:adjustRightInd w:val="0"/>
        <w:spacing w:after="0" w:line="240" w:lineRule="auto"/>
        <w:ind w:left="480" w:hanging="480"/>
        <w:jc w:val="both"/>
        <w:rPr>
          <w:rFonts w:ascii="Book Antiqua" w:hAnsi="Book Antiqua" w:cs="Times New Roman"/>
          <w:noProof/>
          <w:sz w:val="24"/>
        </w:rPr>
      </w:pPr>
      <w:r w:rsidRPr="002B5B58">
        <w:rPr>
          <w:rFonts w:ascii="Book Antiqua" w:hAnsi="Book Antiqua" w:cs="Times New Roman"/>
          <w:noProof/>
          <w:sz w:val="24"/>
        </w:rPr>
        <w:t xml:space="preserve">Shi, H., Ge, X., Ma, X., Zheng, M., Cui, X., Pan, W., Zheng, P., Yang, X., Zhang, P., Hu, M., Hu, T., Tang, R., Zheng, K., Huang, X. F., &amp; Yu, Y. (2021). A fiber-deprived diet causes cognitive impairment and hippocampal microglia-mediated synaptic loss through the gut microbiota and metabolites. </w:t>
      </w:r>
      <w:r w:rsidRPr="002B5B58">
        <w:rPr>
          <w:rFonts w:ascii="Book Antiqua" w:hAnsi="Book Antiqua" w:cs="Times New Roman"/>
          <w:i/>
          <w:iCs/>
          <w:noProof/>
          <w:sz w:val="24"/>
        </w:rPr>
        <w:t>Microbiome</w:t>
      </w:r>
      <w:r w:rsidRPr="002B5B58">
        <w:rPr>
          <w:rFonts w:ascii="Book Antiqua" w:hAnsi="Book Antiqua" w:cs="Times New Roman"/>
          <w:noProof/>
          <w:sz w:val="24"/>
        </w:rPr>
        <w:t xml:space="preserve">, </w:t>
      </w:r>
      <w:r w:rsidRPr="002B5B58">
        <w:rPr>
          <w:rFonts w:ascii="Book Antiqua" w:hAnsi="Book Antiqua" w:cs="Times New Roman"/>
          <w:i/>
          <w:iCs/>
          <w:noProof/>
          <w:sz w:val="24"/>
        </w:rPr>
        <w:t>9</w:t>
      </w:r>
      <w:r w:rsidRPr="002B5B58">
        <w:rPr>
          <w:rFonts w:ascii="Book Antiqua" w:hAnsi="Book Antiqua" w:cs="Times New Roman"/>
          <w:noProof/>
          <w:sz w:val="24"/>
        </w:rPr>
        <w:t>(1), 1–20. https://doi.org/10.1186/s40168-021-01172-0</w:t>
      </w:r>
    </w:p>
    <w:p w14:paraId="549F46B9" w14:textId="77777777" w:rsidR="002B5B58" w:rsidRPr="002B5B58" w:rsidRDefault="002B5B58" w:rsidP="005350CD">
      <w:pPr>
        <w:widowControl w:val="0"/>
        <w:autoSpaceDE w:val="0"/>
        <w:autoSpaceDN w:val="0"/>
        <w:adjustRightInd w:val="0"/>
        <w:spacing w:after="0" w:line="240" w:lineRule="auto"/>
        <w:ind w:left="480" w:hanging="480"/>
        <w:jc w:val="both"/>
        <w:rPr>
          <w:rFonts w:ascii="Book Antiqua" w:hAnsi="Book Antiqua" w:cs="Times New Roman"/>
          <w:noProof/>
          <w:sz w:val="24"/>
        </w:rPr>
      </w:pPr>
      <w:r w:rsidRPr="002B5B58">
        <w:rPr>
          <w:rFonts w:ascii="Book Antiqua" w:hAnsi="Book Antiqua" w:cs="Times New Roman"/>
          <w:noProof/>
          <w:sz w:val="24"/>
        </w:rPr>
        <w:t xml:space="preserve">Singleton, J., Kervin, L., &amp; Neilsen-Hewett, C. (2026). Digital Platforms and Relational Practice: A Netnographic Study of Educator-Family Communication. </w:t>
      </w:r>
      <w:r w:rsidRPr="002B5B58">
        <w:rPr>
          <w:rFonts w:ascii="Book Antiqua" w:hAnsi="Book Antiqua" w:cs="Times New Roman"/>
          <w:i/>
          <w:iCs/>
          <w:noProof/>
          <w:sz w:val="24"/>
        </w:rPr>
        <w:t>Early Childhood Education Journal</w:t>
      </w:r>
      <w:r w:rsidRPr="002B5B58">
        <w:rPr>
          <w:rFonts w:ascii="Book Antiqua" w:hAnsi="Book Antiqua" w:cs="Times New Roman"/>
          <w:noProof/>
          <w:sz w:val="24"/>
        </w:rPr>
        <w:t>. https://doi.org/10.1007/s10643-026-02198-5</w:t>
      </w:r>
    </w:p>
    <w:p w14:paraId="7D6909CF" w14:textId="77777777" w:rsidR="002B5B58" w:rsidRPr="002B5B58" w:rsidRDefault="002B5B58" w:rsidP="005350CD">
      <w:pPr>
        <w:widowControl w:val="0"/>
        <w:autoSpaceDE w:val="0"/>
        <w:autoSpaceDN w:val="0"/>
        <w:adjustRightInd w:val="0"/>
        <w:spacing w:after="0" w:line="240" w:lineRule="auto"/>
        <w:ind w:left="480" w:hanging="480"/>
        <w:jc w:val="both"/>
        <w:rPr>
          <w:rFonts w:ascii="Book Antiqua" w:hAnsi="Book Antiqua" w:cs="Times New Roman"/>
          <w:noProof/>
          <w:sz w:val="24"/>
        </w:rPr>
      </w:pPr>
      <w:r w:rsidRPr="002B5B58">
        <w:rPr>
          <w:rFonts w:ascii="Book Antiqua" w:hAnsi="Book Antiqua" w:cs="Times New Roman"/>
          <w:noProof/>
          <w:sz w:val="24"/>
        </w:rPr>
        <w:t xml:space="preserve">Skeppstedt, M., Ahltorp, M., Kucher, K., &amp; Lindström, M. (2024). From word clouds </w:t>
      </w:r>
      <w:r w:rsidRPr="002B5B58">
        <w:rPr>
          <w:rFonts w:ascii="Book Antiqua" w:hAnsi="Book Antiqua" w:cs="Times New Roman"/>
          <w:noProof/>
          <w:sz w:val="24"/>
        </w:rPr>
        <w:lastRenderedPageBreak/>
        <w:t xml:space="preserve">to Word Rain: Revisiting the classic word cloud to visualize climate change texts. </w:t>
      </w:r>
      <w:r w:rsidRPr="002B5B58">
        <w:rPr>
          <w:rFonts w:ascii="Book Antiqua" w:hAnsi="Book Antiqua" w:cs="Times New Roman"/>
          <w:i/>
          <w:iCs/>
          <w:noProof/>
          <w:sz w:val="24"/>
        </w:rPr>
        <w:t>Information Visualization</w:t>
      </w:r>
      <w:r w:rsidRPr="002B5B58">
        <w:rPr>
          <w:rFonts w:ascii="Book Antiqua" w:hAnsi="Book Antiqua" w:cs="Times New Roman"/>
          <w:noProof/>
          <w:sz w:val="24"/>
        </w:rPr>
        <w:t xml:space="preserve">, </w:t>
      </w:r>
      <w:r w:rsidRPr="002B5B58">
        <w:rPr>
          <w:rFonts w:ascii="Book Antiqua" w:hAnsi="Book Antiqua" w:cs="Times New Roman"/>
          <w:i/>
          <w:iCs/>
          <w:noProof/>
          <w:sz w:val="24"/>
        </w:rPr>
        <w:t>23</w:t>
      </w:r>
      <w:r w:rsidRPr="002B5B58">
        <w:rPr>
          <w:rFonts w:ascii="Book Antiqua" w:hAnsi="Book Antiqua" w:cs="Times New Roman"/>
          <w:noProof/>
          <w:sz w:val="24"/>
        </w:rPr>
        <w:t>(3), 217–238. https://doi.org/10.1177/14738716241236188</w:t>
      </w:r>
    </w:p>
    <w:p w14:paraId="41AA4BE6" w14:textId="77777777" w:rsidR="002B5B58" w:rsidRPr="002B5B58" w:rsidRDefault="002B5B58" w:rsidP="005350CD">
      <w:pPr>
        <w:widowControl w:val="0"/>
        <w:autoSpaceDE w:val="0"/>
        <w:autoSpaceDN w:val="0"/>
        <w:adjustRightInd w:val="0"/>
        <w:spacing w:after="0" w:line="240" w:lineRule="auto"/>
        <w:ind w:left="480" w:hanging="480"/>
        <w:jc w:val="both"/>
        <w:rPr>
          <w:rFonts w:ascii="Book Antiqua" w:hAnsi="Book Antiqua" w:cs="Times New Roman"/>
          <w:noProof/>
          <w:sz w:val="24"/>
        </w:rPr>
      </w:pPr>
      <w:r w:rsidRPr="002B5B58">
        <w:rPr>
          <w:rFonts w:ascii="Book Antiqua" w:hAnsi="Book Antiqua" w:cs="Times New Roman"/>
          <w:noProof/>
          <w:sz w:val="24"/>
        </w:rPr>
        <w:t xml:space="preserve">Stover, A. M., Haverman, L., van Oers, H. A., Greenhalgh, J., Potter, C. M., Ahmed, S., Gibbons, E., Haverman, L., Manalili, K., Potter, C., Roberts, N., Santana, M., Stover, A. M., &amp; van Oers, H. (2021). Using an implementation science approach to implement and evaluate patient-reported outcome measures (PROM) initiatives in routine care settings. </w:t>
      </w:r>
      <w:r w:rsidRPr="002B5B58">
        <w:rPr>
          <w:rFonts w:ascii="Book Antiqua" w:hAnsi="Book Antiqua" w:cs="Times New Roman"/>
          <w:i/>
          <w:iCs/>
          <w:noProof/>
          <w:sz w:val="24"/>
        </w:rPr>
        <w:t>Quality of Life Research</w:t>
      </w:r>
      <w:r w:rsidRPr="002B5B58">
        <w:rPr>
          <w:rFonts w:ascii="Book Antiqua" w:hAnsi="Book Antiqua" w:cs="Times New Roman"/>
          <w:noProof/>
          <w:sz w:val="24"/>
        </w:rPr>
        <w:t xml:space="preserve">, </w:t>
      </w:r>
      <w:r w:rsidRPr="002B5B58">
        <w:rPr>
          <w:rFonts w:ascii="Book Antiqua" w:hAnsi="Book Antiqua" w:cs="Times New Roman"/>
          <w:i/>
          <w:iCs/>
          <w:noProof/>
          <w:sz w:val="24"/>
        </w:rPr>
        <w:t>30</w:t>
      </w:r>
      <w:r w:rsidRPr="002B5B58">
        <w:rPr>
          <w:rFonts w:ascii="Book Antiqua" w:hAnsi="Book Antiqua" w:cs="Times New Roman"/>
          <w:noProof/>
          <w:sz w:val="24"/>
        </w:rPr>
        <w:t>(11), 3015–3033. https://doi.org/10.1007/s11136-020-02564-9</w:t>
      </w:r>
    </w:p>
    <w:p w14:paraId="3D2EA094" w14:textId="77777777" w:rsidR="002B5B58" w:rsidRPr="002B5B58" w:rsidRDefault="002B5B58" w:rsidP="005350CD">
      <w:pPr>
        <w:widowControl w:val="0"/>
        <w:autoSpaceDE w:val="0"/>
        <w:autoSpaceDN w:val="0"/>
        <w:adjustRightInd w:val="0"/>
        <w:spacing w:after="0" w:line="240" w:lineRule="auto"/>
        <w:ind w:left="480" w:hanging="480"/>
        <w:jc w:val="both"/>
        <w:rPr>
          <w:rFonts w:ascii="Book Antiqua" w:hAnsi="Book Antiqua" w:cs="Times New Roman"/>
          <w:noProof/>
          <w:sz w:val="24"/>
        </w:rPr>
      </w:pPr>
      <w:r w:rsidRPr="002B5B58">
        <w:rPr>
          <w:rFonts w:ascii="Book Antiqua" w:hAnsi="Book Antiqua" w:cs="Times New Roman"/>
          <w:noProof/>
          <w:sz w:val="24"/>
        </w:rPr>
        <w:t xml:space="preserve">Taddio, A., Ilersich, A. N. T., McMurtry, C. M., Constantin, K., Bucci, L. M., Gudzak, V., Logeman, C., Crown, N., Kohli, M., Ledrew, E., &amp; MacDonald, N. E. (2025). Development and refinement of an online CARD (Comfort Ask Relax Distract) course for organizations and providers delivering vaccinations and other needle procedures. </w:t>
      </w:r>
      <w:r w:rsidRPr="002B5B58">
        <w:rPr>
          <w:rFonts w:ascii="Book Antiqua" w:hAnsi="Book Antiqua" w:cs="Times New Roman"/>
          <w:i/>
          <w:iCs/>
          <w:noProof/>
          <w:sz w:val="24"/>
        </w:rPr>
        <w:t>Human Vaccines and Immunotherapeutics</w:t>
      </w:r>
      <w:r w:rsidRPr="002B5B58">
        <w:rPr>
          <w:rFonts w:ascii="Book Antiqua" w:hAnsi="Book Antiqua" w:cs="Times New Roman"/>
          <w:noProof/>
          <w:sz w:val="24"/>
        </w:rPr>
        <w:t xml:space="preserve">, </w:t>
      </w:r>
      <w:r w:rsidRPr="002B5B58">
        <w:rPr>
          <w:rFonts w:ascii="Book Antiqua" w:hAnsi="Book Antiqua" w:cs="Times New Roman"/>
          <w:i/>
          <w:iCs/>
          <w:noProof/>
          <w:sz w:val="24"/>
        </w:rPr>
        <w:t>21</w:t>
      </w:r>
      <w:r w:rsidRPr="002B5B58">
        <w:rPr>
          <w:rFonts w:ascii="Book Antiqua" w:hAnsi="Book Antiqua" w:cs="Times New Roman"/>
          <w:noProof/>
          <w:sz w:val="24"/>
        </w:rPr>
        <w:t>(1). https://doi.org/10.1080/21645515.2025.2491853</w:t>
      </w:r>
    </w:p>
    <w:p w14:paraId="40D3286E" w14:textId="77777777" w:rsidR="002B5B58" w:rsidRPr="002B5B58" w:rsidRDefault="002B5B58" w:rsidP="005350CD">
      <w:pPr>
        <w:widowControl w:val="0"/>
        <w:autoSpaceDE w:val="0"/>
        <w:autoSpaceDN w:val="0"/>
        <w:adjustRightInd w:val="0"/>
        <w:spacing w:after="0" w:line="240" w:lineRule="auto"/>
        <w:ind w:left="480" w:hanging="480"/>
        <w:jc w:val="both"/>
        <w:rPr>
          <w:rFonts w:ascii="Book Antiqua" w:hAnsi="Book Antiqua" w:cs="Times New Roman"/>
          <w:noProof/>
          <w:sz w:val="24"/>
        </w:rPr>
      </w:pPr>
      <w:r w:rsidRPr="002B5B58">
        <w:rPr>
          <w:rFonts w:ascii="Book Antiqua" w:hAnsi="Book Antiqua" w:cs="Times New Roman"/>
          <w:noProof/>
          <w:sz w:val="24"/>
        </w:rPr>
        <w:t xml:space="preserve">Udeozor, C., Chan, P., Russo Abegão, F., &amp; Glassey, J. (2023). Game-based assessment framework for virtual reality, augmented reality and digital game-based learning. </w:t>
      </w:r>
      <w:r w:rsidRPr="002B5B58">
        <w:rPr>
          <w:rFonts w:ascii="Book Antiqua" w:hAnsi="Book Antiqua" w:cs="Times New Roman"/>
          <w:i/>
          <w:iCs/>
          <w:noProof/>
          <w:sz w:val="24"/>
        </w:rPr>
        <w:t>International Journal of Educational Technology in Higher Education</w:t>
      </w:r>
      <w:r w:rsidRPr="002B5B58">
        <w:rPr>
          <w:rFonts w:ascii="Book Antiqua" w:hAnsi="Book Antiqua" w:cs="Times New Roman"/>
          <w:noProof/>
          <w:sz w:val="24"/>
        </w:rPr>
        <w:t xml:space="preserve">, </w:t>
      </w:r>
      <w:r w:rsidRPr="002B5B58">
        <w:rPr>
          <w:rFonts w:ascii="Book Antiqua" w:hAnsi="Book Antiqua" w:cs="Times New Roman"/>
          <w:i/>
          <w:iCs/>
          <w:noProof/>
          <w:sz w:val="24"/>
        </w:rPr>
        <w:t>20</w:t>
      </w:r>
      <w:r w:rsidRPr="002B5B58">
        <w:rPr>
          <w:rFonts w:ascii="Book Antiqua" w:hAnsi="Book Antiqua" w:cs="Times New Roman"/>
          <w:noProof/>
          <w:sz w:val="24"/>
        </w:rPr>
        <w:t>(1). https://doi.org/10.1186/s41239-023-00405-6</w:t>
      </w:r>
    </w:p>
    <w:p w14:paraId="7FC2D58E" w14:textId="77777777" w:rsidR="002B5B58" w:rsidRPr="002B5B58" w:rsidRDefault="002B5B58" w:rsidP="005350CD">
      <w:pPr>
        <w:widowControl w:val="0"/>
        <w:autoSpaceDE w:val="0"/>
        <w:autoSpaceDN w:val="0"/>
        <w:adjustRightInd w:val="0"/>
        <w:spacing w:after="0" w:line="240" w:lineRule="auto"/>
        <w:ind w:left="480" w:hanging="480"/>
        <w:jc w:val="both"/>
        <w:rPr>
          <w:rFonts w:ascii="Book Antiqua" w:hAnsi="Book Antiqua" w:cs="Times New Roman"/>
          <w:noProof/>
          <w:sz w:val="24"/>
        </w:rPr>
      </w:pPr>
      <w:r w:rsidRPr="002B5B58">
        <w:rPr>
          <w:rFonts w:ascii="Book Antiqua" w:hAnsi="Book Antiqua" w:cs="Times New Roman"/>
          <w:noProof/>
          <w:sz w:val="24"/>
        </w:rPr>
        <w:t xml:space="preserve">Vidal-Jove, J., Serres, X., Vlaisavljevich, E., Cannata, J., Duryea, A., Miller, R., Merino, X., Velat, M., Kam, Y., Bolduan, R., Amaral, J., Hall, T., Xu, Z., Lee, F. T., &amp; Ziemlewicz, T. J. (2022). First-in-man histotripsy of hepatic tumors: the THERESA trial, a feasibility study. </w:t>
      </w:r>
      <w:r w:rsidRPr="002B5B58">
        <w:rPr>
          <w:rFonts w:ascii="Book Antiqua" w:hAnsi="Book Antiqua" w:cs="Times New Roman"/>
          <w:i/>
          <w:iCs/>
          <w:noProof/>
          <w:sz w:val="24"/>
        </w:rPr>
        <w:t>International Journal of Hyperthermia</w:t>
      </w:r>
      <w:r w:rsidRPr="002B5B58">
        <w:rPr>
          <w:rFonts w:ascii="Book Antiqua" w:hAnsi="Book Antiqua" w:cs="Times New Roman"/>
          <w:noProof/>
          <w:sz w:val="24"/>
        </w:rPr>
        <w:t xml:space="preserve">, </w:t>
      </w:r>
      <w:r w:rsidRPr="002B5B58">
        <w:rPr>
          <w:rFonts w:ascii="Book Antiqua" w:hAnsi="Book Antiqua" w:cs="Times New Roman"/>
          <w:i/>
          <w:iCs/>
          <w:noProof/>
          <w:sz w:val="24"/>
        </w:rPr>
        <w:t>39</w:t>
      </w:r>
      <w:r w:rsidRPr="002B5B58">
        <w:rPr>
          <w:rFonts w:ascii="Book Antiqua" w:hAnsi="Book Antiqua" w:cs="Times New Roman"/>
          <w:noProof/>
          <w:sz w:val="24"/>
        </w:rPr>
        <w:t>(1), 1115–1123. https://doi.org/10.1080/02656736.2022.2112309</w:t>
      </w:r>
    </w:p>
    <w:p w14:paraId="7087A15E" w14:textId="77777777" w:rsidR="002B5B58" w:rsidRPr="002B5B58" w:rsidRDefault="002B5B58" w:rsidP="005350CD">
      <w:pPr>
        <w:widowControl w:val="0"/>
        <w:autoSpaceDE w:val="0"/>
        <w:autoSpaceDN w:val="0"/>
        <w:adjustRightInd w:val="0"/>
        <w:spacing w:after="0" w:line="240" w:lineRule="auto"/>
        <w:ind w:left="480" w:hanging="480"/>
        <w:jc w:val="both"/>
        <w:rPr>
          <w:rFonts w:ascii="Book Antiqua" w:hAnsi="Book Antiqua" w:cs="Times New Roman"/>
          <w:noProof/>
          <w:sz w:val="24"/>
        </w:rPr>
      </w:pPr>
      <w:r w:rsidRPr="002B5B58">
        <w:rPr>
          <w:rFonts w:ascii="Book Antiqua" w:hAnsi="Book Antiqua" w:cs="Times New Roman"/>
          <w:noProof/>
          <w:sz w:val="24"/>
        </w:rPr>
        <w:t xml:space="preserve">Wang, X., Wang, Z., Cao, J., Dong, Y., &amp; Chen, Y. (2023). Gut microbiota-derived metabolites mediate the neuroprotective effect of melatonin in cognitive impairment induced by sleep deprivation. </w:t>
      </w:r>
      <w:r w:rsidRPr="002B5B58">
        <w:rPr>
          <w:rFonts w:ascii="Book Antiqua" w:hAnsi="Book Antiqua" w:cs="Times New Roman"/>
          <w:i/>
          <w:iCs/>
          <w:noProof/>
          <w:sz w:val="24"/>
        </w:rPr>
        <w:t>Microbiome</w:t>
      </w:r>
      <w:r w:rsidRPr="002B5B58">
        <w:rPr>
          <w:rFonts w:ascii="Book Antiqua" w:hAnsi="Book Antiqua" w:cs="Times New Roman"/>
          <w:noProof/>
          <w:sz w:val="24"/>
        </w:rPr>
        <w:t xml:space="preserve">, </w:t>
      </w:r>
      <w:r w:rsidRPr="002B5B58">
        <w:rPr>
          <w:rFonts w:ascii="Book Antiqua" w:hAnsi="Book Antiqua" w:cs="Times New Roman"/>
          <w:i/>
          <w:iCs/>
          <w:noProof/>
          <w:sz w:val="24"/>
        </w:rPr>
        <w:t>11</w:t>
      </w:r>
      <w:r w:rsidRPr="002B5B58">
        <w:rPr>
          <w:rFonts w:ascii="Book Antiqua" w:hAnsi="Book Antiqua" w:cs="Times New Roman"/>
          <w:noProof/>
          <w:sz w:val="24"/>
        </w:rPr>
        <w:t>(1), 1–23. https://doi.org/10.1186/s40168-022-01452-3</w:t>
      </w:r>
    </w:p>
    <w:p w14:paraId="1E468BDC" w14:textId="137A47B1" w:rsidR="002B5B58" w:rsidRPr="002B5B58" w:rsidRDefault="002B5B58" w:rsidP="005350CD">
      <w:pPr>
        <w:widowControl w:val="0"/>
        <w:autoSpaceDE w:val="0"/>
        <w:autoSpaceDN w:val="0"/>
        <w:adjustRightInd w:val="0"/>
        <w:spacing w:after="0" w:line="240" w:lineRule="auto"/>
        <w:ind w:left="480" w:hanging="480"/>
        <w:jc w:val="both"/>
        <w:rPr>
          <w:rFonts w:ascii="Book Antiqua" w:hAnsi="Book Antiqua" w:cs="Times New Roman"/>
          <w:noProof/>
          <w:sz w:val="24"/>
        </w:rPr>
      </w:pPr>
      <w:r w:rsidRPr="002B5B58">
        <w:rPr>
          <w:rFonts w:ascii="Book Antiqua" w:hAnsi="Book Antiqua" w:cs="Times New Roman"/>
          <w:noProof/>
          <w:sz w:val="24"/>
        </w:rPr>
        <w:t>Wong, J. T., Richland, L. E., &amp; Hughes, B. S. (2025). Immediate Versus Delayed Low-Stakes Questioning: Encouraging the Testing Effect Through Embedded Video Questions to Support Students</w:t>
      </w:r>
      <w:r w:rsidR="008018ED">
        <w:rPr>
          <w:rFonts w:ascii="Book Antiqua" w:hAnsi="Book Antiqua" w:cs="Times New Roman"/>
          <w:noProof/>
          <w:sz w:val="24"/>
        </w:rPr>
        <w:t>’</w:t>
      </w:r>
      <w:r w:rsidRPr="002B5B58">
        <w:rPr>
          <w:rFonts w:ascii="Book Antiqua" w:hAnsi="Book Antiqua" w:cs="Times New Roman"/>
          <w:noProof/>
          <w:sz w:val="24"/>
        </w:rPr>
        <w:t xml:space="preserve"> Knowledge Outcomes, Self-Regulation, and Critical Thinking. In </w:t>
      </w:r>
      <w:r w:rsidRPr="002B5B58">
        <w:rPr>
          <w:rFonts w:ascii="Book Antiqua" w:hAnsi="Book Antiqua" w:cs="Times New Roman"/>
          <w:i/>
          <w:iCs/>
          <w:noProof/>
          <w:sz w:val="24"/>
        </w:rPr>
        <w:t>Technology, Knowledge and Learning</w:t>
      </w:r>
      <w:r w:rsidRPr="002B5B58">
        <w:rPr>
          <w:rFonts w:ascii="Book Antiqua" w:hAnsi="Book Antiqua" w:cs="Times New Roman"/>
          <w:noProof/>
          <w:sz w:val="24"/>
        </w:rPr>
        <w:t xml:space="preserve"> (Vol. 30, Number 3). Springer Netherlands. https://doi.org/10.1007/s10758-024-09746-1</w:t>
      </w:r>
    </w:p>
    <w:p w14:paraId="13704261" w14:textId="77777777" w:rsidR="002B5B58" w:rsidRPr="002B5B58" w:rsidRDefault="002B5B58" w:rsidP="005350CD">
      <w:pPr>
        <w:widowControl w:val="0"/>
        <w:autoSpaceDE w:val="0"/>
        <w:autoSpaceDN w:val="0"/>
        <w:adjustRightInd w:val="0"/>
        <w:spacing w:after="0" w:line="240" w:lineRule="auto"/>
        <w:ind w:left="480" w:hanging="480"/>
        <w:jc w:val="both"/>
        <w:rPr>
          <w:rFonts w:ascii="Book Antiqua" w:hAnsi="Book Antiqua"/>
          <w:noProof/>
          <w:sz w:val="24"/>
        </w:rPr>
      </w:pPr>
      <w:r w:rsidRPr="002B5B58">
        <w:rPr>
          <w:rFonts w:ascii="Book Antiqua" w:hAnsi="Book Antiqua" w:cs="Times New Roman"/>
          <w:noProof/>
          <w:sz w:val="24"/>
        </w:rPr>
        <w:t xml:space="preserve">Zeng, H. L., Chen, D. X., Li, Q., &amp; Wang, X. Y. (2020). Effects of seminar teaching method versus lecture-based learning in medical education: A meta-analysis of randomized controlled trials. </w:t>
      </w:r>
      <w:r w:rsidRPr="002B5B58">
        <w:rPr>
          <w:rFonts w:ascii="Book Antiqua" w:hAnsi="Book Antiqua" w:cs="Times New Roman"/>
          <w:i/>
          <w:iCs/>
          <w:noProof/>
          <w:sz w:val="24"/>
        </w:rPr>
        <w:t>Medical Teacher</w:t>
      </w:r>
      <w:r w:rsidRPr="002B5B58">
        <w:rPr>
          <w:rFonts w:ascii="Book Antiqua" w:hAnsi="Book Antiqua" w:cs="Times New Roman"/>
          <w:noProof/>
          <w:sz w:val="24"/>
        </w:rPr>
        <w:t xml:space="preserve">, </w:t>
      </w:r>
      <w:r w:rsidRPr="002B5B58">
        <w:rPr>
          <w:rFonts w:ascii="Book Antiqua" w:hAnsi="Book Antiqua" w:cs="Times New Roman"/>
          <w:i/>
          <w:iCs/>
          <w:noProof/>
          <w:sz w:val="24"/>
        </w:rPr>
        <w:t>42</w:t>
      </w:r>
      <w:r w:rsidRPr="002B5B58">
        <w:rPr>
          <w:rFonts w:ascii="Book Antiqua" w:hAnsi="Book Antiqua" w:cs="Times New Roman"/>
          <w:noProof/>
          <w:sz w:val="24"/>
        </w:rPr>
        <w:t>(12), 1343–1349. https://doi.org/10.1080/0142159X.2020.1805100</w:t>
      </w:r>
    </w:p>
    <w:p w14:paraId="1C1E9C3A" w14:textId="2B43E370" w:rsidR="004A618A" w:rsidRDefault="002B5B58" w:rsidP="005350CD">
      <w:pPr>
        <w:widowControl w:val="0"/>
        <w:spacing w:after="0" w:line="240" w:lineRule="auto"/>
        <w:jc w:val="both"/>
        <w:outlineLvl w:val="0"/>
        <w:rPr>
          <w:rFonts w:ascii="Book Antiqua" w:hAnsi="Book Antiqua"/>
          <w:sz w:val="24"/>
          <w:szCs w:val="24"/>
        </w:rPr>
      </w:pPr>
      <w:r>
        <w:rPr>
          <w:rFonts w:ascii="Book Antiqua" w:hAnsi="Book Antiqua"/>
          <w:sz w:val="24"/>
          <w:szCs w:val="24"/>
        </w:rPr>
        <w:fldChar w:fldCharType="end"/>
      </w:r>
    </w:p>
    <w:p w14:paraId="5C687CA5" w14:textId="38314A14" w:rsidR="00F07136" w:rsidRPr="004B0812" w:rsidRDefault="00F07136" w:rsidP="005350CD">
      <w:pPr>
        <w:widowControl w:val="0"/>
        <w:spacing w:after="0" w:line="240" w:lineRule="auto"/>
        <w:jc w:val="both"/>
        <w:outlineLvl w:val="0"/>
        <w:rPr>
          <w:rFonts w:ascii="Book Antiqua" w:hAnsi="Book Antiqua"/>
          <w:sz w:val="24"/>
          <w:szCs w:val="24"/>
          <w:shd w:val="clear" w:color="auto" w:fill="FFFFFF"/>
        </w:rPr>
      </w:pPr>
    </w:p>
    <w:sectPr w:rsidR="00F07136" w:rsidRPr="004B0812" w:rsidSect="00D9697C">
      <w:headerReference w:type="default" r:id="rId9"/>
      <w:footerReference w:type="default" r:id="rId10"/>
      <w:pgSz w:w="11907" w:h="16839" w:code="9"/>
      <w:pgMar w:top="1440" w:right="1440" w:bottom="1440" w:left="1440" w:header="720" w:footer="720" w:gutter="0"/>
      <w:pgNumType w:start="7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7411A" w14:textId="77777777" w:rsidR="00564B23" w:rsidRDefault="00564B23" w:rsidP="00A93F13">
      <w:pPr>
        <w:spacing w:after="0" w:line="240" w:lineRule="auto"/>
      </w:pPr>
      <w:r>
        <w:separator/>
      </w:r>
    </w:p>
  </w:endnote>
  <w:endnote w:type="continuationSeparator" w:id="0">
    <w:p w14:paraId="1C7BE9AF" w14:textId="77777777" w:rsidR="00564B23" w:rsidRDefault="00564B23" w:rsidP="00A93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824633"/>
      <w:docPartObj>
        <w:docPartGallery w:val="Page Numbers (Bottom of Page)"/>
        <w:docPartUnique/>
      </w:docPartObj>
    </w:sdtPr>
    <w:sdtEndPr>
      <w:rPr>
        <w:rFonts w:ascii="Book Antiqua" w:hAnsi="Book Antiqua"/>
        <w:noProof/>
      </w:rPr>
    </w:sdtEndPr>
    <w:sdtContent>
      <w:p w14:paraId="049A3FFB" w14:textId="1165DCCF" w:rsidR="00CE1C0D" w:rsidRPr="00F76F15" w:rsidRDefault="00F76F15" w:rsidP="00F76F15">
        <w:pPr>
          <w:pStyle w:val="Footer"/>
          <w:jc w:val="right"/>
          <w:rPr>
            <w:rFonts w:ascii="Book Antiqua" w:hAnsi="Book Antiqua"/>
          </w:rPr>
        </w:pPr>
        <w:r w:rsidRPr="00F76F15">
          <w:rPr>
            <w:rFonts w:ascii="Book Antiqua" w:hAnsi="Book Antiqua"/>
          </w:rPr>
          <w:fldChar w:fldCharType="begin"/>
        </w:r>
        <w:r w:rsidRPr="00F76F15">
          <w:rPr>
            <w:rFonts w:ascii="Book Antiqua" w:hAnsi="Book Antiqua"/>
          </w:rPr>
          <w:instrText xml:space="preserve"> PAGE   \* MERGEFORMAT </w:instrText>
        </w:r>
        <w:r w:rsidRPr="00F76F15">
          <w:rPr>
            <w:rFonts w:ascii="Book Antiqua" w:hAnsi="Book Antiqua"/>
          </w:rPr>
          <w:fldChar w:fldCharType="separate"/>
        </w:r>
        <w:r w:rsidRPr="00F76F15">
          <w:rPr>
            <w:rFonts w:ascii="Book Antiqua" w:hAnsi="Book Antiqua"/>
            <w:noProof/>
          </w:rPr>
          <w:t>2</w:t>
        </w:r>
        <w:r w:rsidRPr="00F76F15">
          <w:rPr>
            <w:rFonts w:ascii="Book Antiqua" w:hAnsi="Book Antiqua"/>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BB14A" w14:textId="77777777" w:rsidR="00564B23" w:rsidRDefault="00564B23" w:rsidP="00A93F13">
      <w:pPr>
        <w:spacing w:after="0" w:line="240" w:lineRule="auto"/>
      </w:pPr>
      <w:r>
        <w:separator/>
      </w:r>
    </w:p>
  </w:footnote>
  <w:footnote w:type="continuationSeparator" w:id="0">
    <w:p w14:paraId="1F0E02A0" w14:textId="77777777" w:rsidR="00564B23" w:rsidRDefault="00564B23" w:rsidP="00A93F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7D1EE" w14:textId="77777777" w:rsidR="00D9697C" w:rsidRPr="00E275B1" w:rsidRDefault="00D9697C" w:rsidP="00D9697C">
    <w:pPr>
      <w:pStyle w:val="Header"/>
      <w:tabs>
        <w:tab w:val="left" w:pos="720"/>
      </w:tabs>
      <w:jc w:val="both"/>
      <w:rPr>
        <w:rFonts w:ascii="Book Antiqua" w:hAnsi="Book Antiqua"/>
        <w:i/>
        <w:sz w:val="24"/>
        <w:szCs w:val="24"/>
      </w:rPr>
    </w:pPr>
    <w:bookmarkStart w:id="0" w:name="_Hlk232673863"/>
    <w:bookmarkStart w:id="1" w:name="_Hlk232673864"/>
    <w:bookmarkStart w:id="2" w:name="_Hlk227591405"/>
    <w:bookmarkStart w:id="3" w:name="_Hlk227591406"/>
    <w:r w:rsidRPr="00E275B1">
      <w:rPr>
        <w:rFonts w:ascii="Book Antiqua" w:hAnsi="Book Antiqua"/>
        <w:i/>
        <w:sz w:val="24"/>
        <w:szCs w:val="24"/>
      </w:rPr>
      <w:t>Journal of Social Work and Science Education</w:t>
    </w:r>
  </w:p>
  <w:p w14:paraId="4BDD611D" w14:textId="303FA5F7" w:rsidR="00D9697C" w:rsidRPr="00E275B1" w:rsidRDefault="00D9697C" w:rsidP="00D9697C">
    <w:pPr>
      <w:pStyle w:val="Header"/>
      <w:tabs>
        <w:tab w:val="left" w:pos="720"/>
      </w:tabs>
      <w:jc w:val="both"/>
      <w:rPr>
        <w:rFonts w:ascii="Book Antiqua" w:hAnsi="Book Antiqua"/>
        <w:i/>
        <w:sz w:val="24"/>
        <w:szCs w:val="24"/>
      </w:rPr>
    </w:pPr>
    <w:r w:rsidRPr="00E275B1">
      <w:rPr>
        <w:rFonts w:ascii="Book Antiqua" w:hAnsi="Book Antiqua"/>
        <w:i/>
        <w:iCs/>
        <w:sz w:val="24"/>
        <w:szCs w:val="24"/>
      </w:rPr>
      <w:t xml:space="preserve">Volume 8 (1) 2027, </w:t>
    </w:r>
    <w:r>
      <w:rPr>
        <w:rFonts w:ascii="Book Antiqua" w:hAnsi="Book Antiqua"/>
        <w:i/>
        <w:iCs/>
        <w:sz w:val="24"/>
        <w:szCs w:val="24"/>
      </w:rPr>
      <w:t>7</w:t>
    </w:r>
    <w:r>
      <w:rPr>
        <w:rFonts w:ascii="Book Antiqua" w:hAnsi="Book Antiqua"/>
        <w:i/>
        <w:iCs/>
        <w:sz w:val="24"/>
        <w:szCs w:val="24"/>
      </w:rPr>
      <w:t>60</w:t>
    </w:r>
    <w:r w:rsidRPr="00E275B1">
      <w:rPr>
        <w:rFonts w:ascii="Book Antiqua" w:hAnsi="Book Antiqua"/>
        <w:i/>
        <w:iCs/>
        <w:sz w:val="24"/>
        <w:szCs w:val="24"/>
      </w:rPr>
      <w:t>-</w:t>
    </w:r>
    <w:r>
      <w:rPr>
        <w:rFonts w:ascii="Book Antiqua" w:hAnsi="Book Antiqua"/>
        <w:i/>
        <w:iCs/>
        <w:sz w:val="24"/>
        <w:szCs w:val="24"/>
      </w:rPr>
      <w:t>7</w:t>
    </w:r>
    <w:r>
      <w:rPr>
        <w:rFonts w:ascii="Book Antiqua" w:hAnsi="Book Antiqua"/>
        <w:i/>
        <w:iCs/>
        <w:sz w:val="24"/>
        <w:szCs w:val="24"/>
      </w:rPr>
      <w:t>72</w:t>
    </w:r>
  </w:p>
  <w:p w14:paraId="0817EE4F" w14:textId="67750CBC" w:rsidR="00D9697C" w:rsidRDefault="00D9697C" w:rsidP="00D9697C">
    <w:pPr>
      <w:pStyle w:val="Header"/>
      <w:tabs>
        <w:tab w:val="left" w:pos="720"/>
      </w:tabs>
      <w:jc w:val="both"/>
      <w:rPr>
        <w:rFonts w:ascii="Book Antiqua" w:hAnsi="Book Antiqua"/>
        <w:i/>
        <w:sz w:val="24"/>
        <w:szCs w:val="24"/>
      </w:rPr>
    </w:pPr>
    <w:r w:rsidRPr="00E275B1">
      <w:rPr>
        <w:rFonts w:ascii="Book Antiqua" w:hAnsi="Book Antiqua"/>
        <w:i/>
        <w:sz w:val="24"/>
        <w:szCs w:val="24"/>
      </w:rPr>
      <w:t>E-ISSN 2723-6919, P-ISSN 2746-082</w:t>
    </w:r>
    <w:bookmarkEnd w:id="0"/>
    <w:bookmarkEnd w:id="1"/>
    <w:r w:rsidRPr="00E275B1">
      <w:rPr>
        <w:rFonts w:ascii="Book Antiqua" w:hAnsi="Book Antiqua"/>
        <w:i/>
        <w:sz w:val="24"/>
        <w:szCs w:val="24"/>
      </w:rPr>
      <w:t>7</w:t>
    </w:r>
  </w:p>
  <w:p w14:paraId="107671F4" w14:textId="3B6C3388" w:rsidR="00D9697C" w:rsidRDefault="00D9697C" w:rsidP="00D9697C">
    <w:pPr>
      <w:pStyle w:val="Header"/>
      <w:tabs>
        <w:tab w:val="left" w:pos="720"/>
      </w:tabs>
      <w:jc w:val="both"/>
      <w:rPr>
        <w:rFonts w:ascii="Book Antiqua" w:hAnsi="Book Antiqua"/>
        <w:i/>
        <w:sz w:val="24"/>
        <w:szCs w:val="24"/>
      </w:rPr>
    </w:pPr>
  </w:p>
  <w:p w14:paraId="4101AEB0" w14:textId="77777777" w:rsidR="00D9697C" w:rsidRPr="008425E6" w:rsidRDefault="00D9697C" w:rsidP="00D9697C">
    <w:pPr>
      <w:pStyle w:val="Header"/>
      <w:tabs>
        <w:tab w:val="left" w:pos="720"/>
      </w:tabs>
      <w:jc w:val="both"/>
      <w:rPr>
        <w:rFonts w:ascii="Book Antiqua" w:hAnsi="Book Antiqua"/>
        <w:i/>
        <w:sz w:val="24"/>
        <w:szCs w:val="24"/>
      </w:rPr>
    </w:pPr>
  </w:p>
  <w:bookmarkEnd w:id="2"/>
  <w:bookmarkEnd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068AD"/>
    <w:multiLevelType w:val="hybridMultilevel"/>
    <w:tmpl w:val="DC925C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3681A"/>
    <w:multiLevelType w:val="hybridMultilevel"/>
    <w:tmpl w:val="E1981B12"/>
    <w:lvl w:ilvl="0" w:tplc="A1F01618">
      <w:start w:val="1"/>
      <w:numFmt w:val="upperLetter"/>
      <w:lvlText w:val="%1."/>
      <w:lvlJc w:val="left"/>
      <w:pPr>
        <w:ind w:left="720" w:hanging="360"/>
      </w:pPr>
      <w:rPr>
        <w:rFonts w:hint="default"/>
        <w:b/>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1D95B97"/>
    <w:multiLevelType w:val="multilevel"/>
    <w:tmpl w:val="D89ED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FC492E"/>
    <w:multiLevelType w:val="multilevel"/>
    <w:tmpl w:val="42565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A67863"/>
    <w:multiLevelType w:val="multilevel"/>
    <w:tmpl w:val="86A61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7A5BB3"/>
    <w:multiLevelType w:val="hybridMultilevel"/>
    <w:tmpl w:val="02061E26"/>
    <w:lvl w:ilvl="0" w:tplc="EA0AFE9E">
      <w:start w:val="1"/>
      <w:numFmt w:val="decimal"/>
      <w:lvlText w:val="%1."/>
      <w:lvlJc w:val="left"/>
      <w:pPr>
        <w:ind w:left="720" w:hanging="360"/>
      </w:pPr>
      <w:rPr>
        <w:rFonts w:ascii="Book Antiqua" w:eastAsiaTheme="minorHAnsi" w:hAnsi="Book Antiqua"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2E0402C"/>
    <w:multiLevelType w:val="multilevel"/>
    <w:tmpl w:val="43580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6C3068"/>
    <w:multiLevelType w:val="multilevel"/>
    <w:tmpl w:val="81285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0B09CE"/>
    <w:multiLevelType w:val="hybridMultilevel"/>
    <w:tmpl w:val="E512A430"/>
    <w:lvl w:ilvl="0" w:tplc="3809000F">
      <w:start w:val="1"/>
      <w:numFmt w:val="decimal"/>
      <w:lvlText w:val="%1."/>
      <w:lvlJc w:val="left"/>
      <w:pPr>
        <w:ind w:left="720" w:hanging="360"/>
      </w:pPr>
      <w:rPr>
        <w:rFonts w:eastAsia="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9225B1A"/>
    <w:multiLevelType w:val="hybridMultilevel"/>
    <w:tmpl w:val="91E0D7A0"/>
    <w:lvl w:ilvl="0" w:tplc="AEF0E0F6">
      <w:start w:val="1"/>
      <w:numFmt w:val="upperLetter"/>
      <w:lvlText w:val="%1."/>
      <w:lvlJc w:val="left"/>
      <w:pPr>
        <w:ind w:left="360" w:hanging="360"/>
      </w:pPr>
      <w:rPr>
        <w:rFonts w:hint="default"/>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 w15:restartNumberingAfterBreak="0">
    <w:nsid w:val="49D23EED"/>
    <w:multiLevelType w:val="multilevel"/>
    <w:tmpl w:val="80BC2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AF2D91"/>
    <w:multiLevelType w:val="multilevel"/>
    <w:tmpl w:val="8EA8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DF252D"/>
    <w:multiLevelType w:val="hybridMultilevel"/>
    <w:tmpl w:val="F236AAE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EEE5CF5"/>
    <w:multiLevelType w:val="multilevel"/>
    <w:tmpl w:val="C9D0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8961F4"/>
    <w:multiLevelType w:val="hybridMultilevel"/>
    <w:tmpl w:val="AA2E35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2"/>
  </w:num>
  <w:num w:numId="5">
    <w:abstractNumId w:val="4"/>
  </w:num>
  <w:num w:numId="6">
    <w:abstractNumId w:val="10"/>
  </w:num>
  <w:num w:numId="7">
    <w:abstractNumId w:val="3"/>
  </w:num>
  <w:num w:numId="8">
    <w:abstractNumId w:val="6"/>
  </w:num>
  <w:num w:numId="9">
    <w:abstractNumId w:val="2"/>
  </w:num>
  <w:num w:numId="10">
    <w:abstractNumId w:val="13"/>
  </w:num>
  <w:num w:numId="11">
    <w:abstractNumId w:val="11"/>
  </w:num>
  <w:num w:numId="12">
    <w:abstractNumId w:val="7"/>
  </w:num>
  <w:num w:numId="13">
    <w:abstractNumId w:val="9"/>
  </w:num>
  <w:num w:numId="14">
    <w:abstractNumId w:val="14"/>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3F13"/>
    <w:rsid w:val="000153FA"/>
    <w:rsid w:val="00024793"/>
    <w:rsid w:val="000860BA"/>
    <w:rsid w:val="00090154"/>
    <w:rsid w:val="00095D37"/>
    <w:rsid w:val="000C5B7D"/>
    <w:rsid w:val="000C5BB2"/>
    <w:rsid w:val="000C6224"/>
    <w:rsid w:val="00106979"/>
    <w:rsid w:val="00113185"/>
    <w:rsid w:val="001233DA"/>
    <w:rsid w:val="00145B83"/>
    <w:rsid w:val="00161CCE"/>
    <w:rsid w:val="0018057D"/>
    <w:rsid w:val="001865C6"/>
    <w:rsid w:val="001A017D"/>
    <w:rsid w:val="001A068A"/>
    <w:rsid w:val="001A47B9"/>
    <w:rsid w:val="001B0752"/>
    <w:rsid w:val="001D11ED"/>
    <w:rsid w:val="00231C71"/>
    <w:rsid w:val="00257C12"/>
    <w:rsid w:val="00271E74"/>
    <w:rsid w:val="0028166D"/>
    <w:rsid w:val="0028359F"/>
    <w:rsid w:val="002942BD"/>
    <w:rsid w:val="002B1E81"/>
    <w:rsid w:val="002B5B58"/>
    <w:rsid w:val="002C5E9C"/>
    <w:rsid w:val="002D7CE9"/>
    <w:rsid w:val="003151FA"/>
    <w:rsid w:val="00315ACE"/>
    <w:rsid w:val="00350B7D"/>
    <w:rsid w:val="003650EE"/>
    <w:rsid w:val="00381CB5"/>
    <w:rsid w:val="00390824"/>
    <w:rsid w:val="00397671"/>
    <w:rsid w:val="003A14A3"/>
    <w:rsid w:val="003C0309"/>
    <w:rsid w:val="003E16E4"/>
    <w:rsid w:val="00401EF2"/>
    <w:rsid w:val="004036B2"/>
    <w:rsid w:val="004073D8"/>
    <w:rsid w:val="00426215"/>
    <w:rsid w:val="00427C32"/>
    <w:rsid w:val="004413DE"/>
    <w:rsid w:val="00447409"/>
    <w:rsid w:val="004542C2"/>
    <w:rsid w:val="00487A49"/>
    <w:rsid w:val="00491EAC"/>
    <w:rsid w:val="00492B52"/>
    <w:rsid w:val="004960A2"/>
    <w:rsid w:val="004A1EB2"/>
    <w:rsid w:val="004A618A"/>
    <w:rsid w:val="004B0812"/>
    <w:rsid w:val="004C1BD6"/>
    <w:rsid w:val="004D4699"/>
    <w:rsid w:val="004E4F63"/>
    <w:rsid w:val="004F143E"/>
    <w:rsid w:val="00513C04"/>
    <w:rsid w:val="0051753A"/>
    <w:rsid w:val="00517AB7"/>
    <w:rsid w:val="0052388D"/>
    <w:rsid w:val="005350CD"/>
    <w:rsid w:val="00537458"/>
    <w:rsid w:val="0054049E"/>
    <w:rsid w:val="00561180"/>
    <w:rsid w:val="00561688"/>
    <w:rsid w:val="00564B23"/>
    <w:rsid w:val="00587396"/>
    <w:rsid w:val="00595515"/>
    <w:rsid w:val="005A0891"/>
    <w:rsid w:val="005A4297"/>
    <w:rsid w:val="005B11F3"/>
    <w:rsid w:val="005B1B3C"/>
    <w:rsid w:val="005C75A2"/>
    <w:rsid w:val="006308A1"/>
    <w:rsid w:val="006335DB"/>
    <w:rsid w:val="0066226D"/>
    <w:rsid w:val="00696C01"/>
    <w:rsid w:val="006B07B2"/>
    <w:rsid w:val="006F5AF4"/>
    <w:rsid w:val="007252E9"/>
    <w:rsid w:val="007362BC"/>
    <w:rsid w:val="007413AE"/>
    <w:rsid w:val="00744EDA"/>
    <w:rsid w:val="00760E51"/>
    <w:rsid w:val="00786845"/>
    <w:rsid w:val="00787450"/>
    <w:rsid w:val="00793B32"/>
    <w:rsid w:val="007949F7"/>
    <w:rsid w:val="007B60B3"/>
    <w:rsid w:val="007C2961"/>
    <w:rsid w:val="007C4359"/>
    <w:rsid w:val="007D2FF6"/>
    <w:rsid w:val="007E1949"/>
    <w:rsid w:val="008018ED"/>
    <w:rsid w:val="00814661"/>
    <w:rsid w:val="00835D5E"/>
    <w:rsid w:val="00843D1D"/>
    <w:rsid w:val="008476EF"/>
    <w:rsid w:val="0085698B"/>
    <w:rsid w:val="0086777E"/>
    <w:rsid w:val="00872B14"/>
    <w:rsid w:val="00877C68"/>
    <w:rsid w:val="0088587E"/>
    <w:rsid w:val="008A4716"/>
    <w:rsid w:val="008B191D"/>
    <w:rsid w:val="008B30A1"/>
    <w:rsid w:val="008B73DA"/>
    <w:rsid w:val="008C52F9"/>
    <w:rsid w:val="008D157A"/>
    <w:rsid w:val="008F447B"/>
    <w:rsid w:val="008F6B93"/>
    <w:rsid w:val="0090659F"/>
    <w:rsid w:val="009313BE"/>
    <w:rsid w:val="0093362C"/>
    <w:rsid w:val="00954CCE"/>
    <w:rsid w:val="009649F8"/>
    <w:rsid w:val="00985898"/>
    <w:rsid w:val="009A0812"/>
    <w:rsid w:val="009A7091"/>
    <w:rsid w:val="009C074E"/>
    <w:rsid w:val="009D17D1"/>
    <w:rsid w:val="009E1174"/>
    <w:rsid w:val="009E3713"/>
    <w:rsid w:val="009F0BFB"/>
    <w:rsid w:val="009F396D"/>
    <w:rsid w:val="00A13528"/>
    <w:rsid w:val="00A30A3F"/>
    <w:rsid w:val="00A402E4"/>
    <w:rsid w:val="00A41814"/>
    <w:rsid w:val="00A454ED"/>
    <w:rsid w:val="00A531B9"/>
    <w:rsid w:val="00A622D5"/>
    <w:rsid w:val="00A6747A"/>
    <w:rsid w:val="00A70996"/>
    <w:rsid w:val="00A93F13"/>
    <w:rsid w:val="00AB0524"/>
    <w:rsid w:val="00AB17AC"/>
    <w:rsid w:val="00AF340F"/>
    <w:rsid w:val="00AF5F59"/>
    <w:rsid w:val="00B025C8"/>
    <w:rsid w:val="00B16898"/>
    <w:rsid w:val="00B3170C"/>
    <w:rsid w:val="00B3182A"/>
    <w:rsid w:val="00B322C9"/>
    <w:rsid w:val="00B3246F"/>
    <w:rsid w:val="00B43080"/>
    <w:rsid w:val="00B604AC"/>
    <w:rsid w:val="00B65CE0"/>
    <w:rsid w:val="00B675FF"/>
    <w:rsid w:val="00B773C0"/>
    <w:rsid w:val="00B7742E"/>
    <w:rsid w:val="00BB0B0F"/>
    <w:rsid w:val="00BC456C"/>
    <w:rsid w:val="00BD5B65"/>
    <w:rsid w:val="00BE02D1"/>
    <w:rsid w:val="00BF51B7"/>
    <w:rsid w:val="00C039C7"/>
    <w:rsid w:val="00C3555D"/>
    <w:rsid w:val="00C443B8"/>
    <w:rsid w:val="00C51E18"/>
    <w:rsid w:val="00C57BD3"/>
    <w:rsid w:val="00C8241B"/>
    <w:rsid w:val="00C91545"/>
    <w:rsid w:val="00CB4330"/>
    <w:rsid w:val="00CD78FD"/>
    <w:rsid w:val="00CE1C0D"/>
    <w:rsid w:val="00CE22E8"/>
    <w:rsid w:val="00CF3060"/>
    <w:rsid w:val="00D05F97"/>
    <w:rsid w:val="00D105B1"/>
    <w:rsid w:val="00D31C03"/>
    <w:rsid w:val="00D33C61"/>
    <w:rsid w:val="00D404A7"/>
    <w:rsid w:val="00D452D7"/>
    <w:rsid w:val="00D62512"/>
    <w:rsid w:val="00D6702E"/>
    <w:rsid w:val="00D70994"/>
    <w:rsid w:val="00D70B13"/>
    <w:rsid w:val="00D70C7B"/>
    <w:rsid w:val="00D953B3"/>
    <w:rsid w:val="00D9697C"/>
    <w:rsid w:val="00D97ACF"/>
    <w:rsid w:val="00DA2872"/>
    <w:rsid w:val="00DA70E2"/>
    <w:rsid w:val="00DE3BA7"/>
    <w:rsid w:val="00DF5685"/>
    <w:rsid w:val="00E040F1"/>
    <w:rsid w:val="00E11B3D"/>
    <w:rsid w:val="00E15B69"/>
    <w:rsid w:val="00E32740"/>
    <w:rsid w:val="00E33B67"/>
    <w:rsid w:val="00E36DC5"/>
    <w:rsid w:val="00E4328A"/>
    <w:rsid w:val="00E4449F"/>
    <w:rsid w:val="00E606F1"/>
    <w:rsid w:val="00E723AA"/>
    <w:rsid w:val="00E74683"/>
    <w:rsid w:val="00E968D3"/>
    <w:rsid w:val="00EA6F4F"/>
    <w:rsid w:val="00EB4271"/>
    <w:rsid w:val="00EC3FDB"/>
    <w:rsid w:val="00EE12C0"/>
    <w:rsid w:val="00EF0129"/>
    <w:rsid w:val="00F04814"/>
    <w:rsid w:val="00F07136"/>
    <w:rsid w:val="00F1019A"/>
    <w:rsid w:val="00F12A90"/>
    <w:rsid w:val="00F15DAC"/>
    <w:rsid w:val="00F23906"/>
    <w:rsid w:val="00F33077"/>
    <w:rsid w:val="00F55E72"/>
    <w:rsid w:val="00F76F15"/>
    <w:rsid w:val="00F8039E"/>
    <w:rsid w:val="00F850C4"/>
    <w:rsid w:val="00F8520D"/>
    <w:rsid w:val="00FB6C0A"/>
    <w:rsid w:val="00FC43AD"/>
    <w:rsid w:val="00FF7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BC056E"/>
  <w15:docId w15:val="{59B221C2-5D72-4083-83AF-CB0BDCD01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2479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A93F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3F13"/>
  </w:style>
  <w:style w:type="paragraph" w:styleId="Footer">
    <w:name w:val="footer"/>
    <w:basedOn w:val="Normal"/>
    <w:link w:val="FooterChar"/>
    <w:uiPriority w:val="99"/>
    <w:unhideWhenUsed/>
    <w:rsid w:val="00A93F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3F13"/>
  </w:style>
  <w:style w:type="character" w:customStyle="1" w:styleId="jlqj4b">
    <w:name w:val="jlqj4b"/>
    <w:rsid w:val="00231C71"/>
  </w:style>
  <w:style w:type="character" w:styleId="Hyperlink">
    <w:name w:val="Hyperlink"/>
    <w:basedOn w:val="DefaultParagraphFont"/>
    <w:uiPriority w:val="99"/>
    <w:unhideWhenUsed/>
    <w:rsid w:val="00231C71"/>
    <w:rPr>
      <w:color w:val="0000FF" w:themeColor="hyperlink"/>
      <w:u w:val="single"/>
    </w:rPr>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9A7091"/>
    <w:pPr>
      <w:ind w:left="720"/>
      <w:contextualSpacing/>
    </w:pPr>
  </w:style>
  <w:style w:type="character" w:customStyle="1" w:styleId="ListParagraphChar">
    <w:name w:val="List Paragraph Char"/>
    <w:aliases w:val="Body of text Char,Colorful List - Accent 11 Char,List Paragraph1 Char,Body of text+1 Char,Body of text+2 Char,Body of text+3 Char,List Paragraph11 Char"/>
    <w:basedOn w:val="DefaultParagraphFont"/>
    <w:link w:val="ListParagraph"/>
    <w:uiPriority w:val="34"/>
    <w:locked/>
    <w:rsid w:val="009A7091"/>
  </w:style>
  <w:style w:type="paragraph" w:styleId="BalloonText">
    <w:name w:val="Balloon Text"/>
    <w:basedOn w:val="Normal"/>
    <w:link w:val="BalloonTextChar"/>
    <w:uiPriority w:val="99"/>
    <w:semiHidden/>
    <w:unhideWhenUsed/>
    <w:rsid w:val="00F55E72"/>
    <w:pPr>
      <w:spacing w:after="0" w:line="240" w:lineRule="auto"/>
    </w:pPr>
    <w:rPr>
      <w:rFonts w:ascii="Tahoma" w:eastAsia="Calibri" w:hAnsi="Tahoma" w:cs="Times New Roman"/>
      <w:sz w:val="16"/>
      <w:szCs w:val="16"/>
    </w:rPr>
  </w:style>
  <w:style w:type="character" w:customStyle="1" w:styleId="BalloonTextChar">
    <w:name w:val="Balloon Text Char"/>
    <w:basedOn w:val="DefaultParagraphFont"/>
    <w:link w:val="BalloonText"/>
    <w:uiPriority w:val="99"/>
    <w:semiHidden/>
    <w:rsid w:val="00F55E72"/>
    <w:rPr>
      <w:rFonts w:ascii="Tahoma" w:eastAsia="Calibri" w:hAnsi="Tahoma" w:cs="Times New Roman"/>
      <w:sz w:val="16"/>
      <w:szCs w:val="16"/>
    </w:rPr>
  </w:style>
  <w:style w:type="paragraph" w:styleId="NoSpacing">
    <w:name w:val="No Spacing"/>
    <w:link w:val="NoSpacingChar"/>
    <w:uiPriority w:val="1"/>
    <w:qFormat/>
    <w:rsid w:val="009A0812"/>
    <w:pPr>
      <w:spacing w:after="0" w:line="240" w:lineRule="auto"/>
    </w:pPr>
  </w:style>
  <w:style w:type="paragraph" w:customStyle="1" w:styleId="gv4p8b0">
    <w:name w:val="gv4p8b0"/>
    <w:basedOn w:val="Normal"/>
    <w:rsid w:val="00F07136"/>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UnresolvedMention">
    <w:name w:val="Unresolved Mention"/>
    <w:basedOn w:val="DefaultParagraphFont"/>
    <w:uiPriority w:val="99"/>
    <w:semiHidden/>
    <w:unhideWhenUsed/>
    <w:rsid w:val="00A41814"/>
    <w:rPr>
      <w:color w:val="605E5C"/>
      <w:shd w:val="clear" w:color="auto" w:fill="E1DFDD"/>
    </w:rPr>
  </w:style>
  <w:style w:type="table" w:customStyle="1" w:styleId="PlainTable21">
    <w:name w:val="Plain Table 21"/>
    <w:basedOn w:val="TableNormal"/>
    <w:uiPriority w:val="42"/>
    <w:rsid w:val="00A41814"/>
    <w:pPr>
      <w:widowControl w:val="0"/>
      <w:spacing w:after="0" w:line="240" w:lineRule="auto"/>
    </w:pPr>
    <w:rPr>
      <w:rFonts w:ascii="Times New Roman" w:eastAsia="Times New Roman" w:hAnsi="Times New Roman" w:cs="Times New Roman"/>
      <w:sz w:val="16"/>
      <w:szCs w:val="16"/>
      <w:lang w:val="en-GB" w:eastAsia="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28359F"/>
    <w:pPr>
      <w:spacing w:after="0" w:line="240" w:lineRule="auto"/>
    </w:pPr>
    <w:rPr>
      <w:rFonts w:ascii="Times New Roman" w:eastAsia="Times New Roman" w:hAnsi="Times New Roman" w:cs="Times New Roman"/>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
    <w:name w:val="Plain Table 22"/>
    <w:basedOn w:val="TableNormal"/>
    <w:next w:val="PlainTable2"/>
    <w:uiPriority w:val="42"/>
    <w:rsid w:val="009C074E"/>
    <w:pPr>
      <w:widowControl w:val="0"/>
      <w:spacing w:after="0" w:line="240" w:lineRule="auto"/>
      <w:jc w:val="both"/>
    </w:pPr>
    <w:rPr>
      <w:rFonts w:ascii="Times New Roman" w:eastAsia="Times New Roman" w:hAnsi="Times New Roman" w:cs="Times New Roman"/>
      <w:sz w:val="18"/>
      <w:szCs w:val="18"/>
      <w:lang w:val="en" w:eastAsia="en-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9C07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3">
    <w:name w:val="Plain Table 23"/>
    <w:basedOn w:val="TableNormal"/>
    <w:next w:val="PlainTable2"/>
    <w:uiPriority w:val="42"/>
    <w:rsid w:val="009C074E"/>
    <w:pPr>
      <w:widowControl w:val="0"/>
      <w:spacing w:after="0" w:line="240" w:lineRule="auto"/>
      <w:jc w:val="both"/>
    </w:pPr>
    <w:rPr>
      <w:rFonts w:ascii="Times New Roman" w:eastAsia="Times New Roman" w:hAnsi="Times New Roman" w:cs="Times New Roman"/>
      <w:sz w:val="18"/>
      <w:szCs w:val="18"/>
      <w:lang w:val="en" w:eastAsia="en-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2Char">
    <w:name w:val="Heading 2 Char"/>
    <w:basedOn w:val="DefaultParagraphFont"/>
    <w:link w:val="Heading2"/>
    <w:uiPriority w:val="9"/>
    <w:semiHidden/>
    <w:rsid w:val="00024793"/>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6B07B2"/>
    <w:rPr>
      <w:sz w:val="16"/>
      <w:szCs w:val="16"/>
    </w:rPr>
  </w:style>
  <w:style w:type="paragraph" w:styleId="CommentText">
    <w:name w:val="annotation text"/>
    <w:basedOn w:val="Normal"/>
    <w:link w:val="CommentTextChar"/>
    <w:uiPriority w:val="99"/>
    <w:semiHidden/>
    <w:unhideWhenUsed/>
    <w:rsid w:val="006B07B2"/>
    <w:pPr>
      <w:spacing w:line="240" w:lineRule="auto"/>
    </w:pPr>
    <w:rPr>
      <w:sz w:val="20"/>
      <w:szCs w:val="20"/>
    </w:rPr>
  </w:style>
  <w:style w:type="character" w:customStyle="1" w:styleId="CommentTextChar">
    <w:name w:val="Comment Text Char"/>
    <w:basedOn w:val="DefaultParagraphFont"/>
    <w:link w:val="CommentText"/>
    <w:uiPriority w:val="99"/>
    <w:semiHidden/>
    <w:rsid w:val="006B07B2"/>
    <w:rPr>
      <w:sz w:val="20"/>
      <w:szCs w:val="20"/>
    </w:rPr>
  </w:style>
  <w:style w:type="paragraph" w:styleId="CommentSubject">
    <w:name w:val="annotation subject"/>
    <w:basedOn w:val="CommentText"/>
    <w:next w:val="CommentText"/>
    <w:link w:val="CommentSubjectChar"/>
    <w:uiPriority w:val="99"/>
    <w:semiHidden/>
    <w:unhideWhenUsed/>
    <w:rsid w:val="006B07B2"/>
    <w:rPr>
      <w:b/>
      <w:bCs/>
    </w:rPr>
  </w:style>
  <w:style w:type="character" w:customStyle="1" w:styleId="CommentSubjectChar">
    <w:name w:val="Comment Subject Char"/>
    <w:basedOn w:val="CommentTextChar"/>
    <w:link w:val="CommentSubject"/>
    <w:uiPriority w:val="99"/>
    <w:semiHidden/>
    <w:rsid w:val="006B07B2"/>
    <w:rPr>
      <w:b/>
      <w:bCs/>
      <w:sz w:val="20"/>
      <w:szCs w:val="20"/>
    </w:rPr>
  </w:style>
  <w:style w:type="paragraph" w:customStyle="1" w:styleId="ds-markdown-paragraph">
    <w:name w:val="ds-markdown-paragraph"/>
    <w:basedOn w:val="Normal"/>
    <w:rsid w:val="006B07B2"/>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Strong">
    <w:name w:val="Strong"/>
    <w:basedOn w:val="DefaultParagraphFont"/>
    <w:uiPriority w:val="22"/>
    <w:qFormat/>
    <w:rsid w:val="006B07B2"/>
    <w:rPr>
      <w:b/>
      <w:bCs/>
    </w:rPr>
  </w:style>
  <w:style w:type="character" w:styleId="Emphasis">
    <w:name w:val="Emphasis"/>
    <w:basedOn w:val="DefaultParagraphFont"/>
    <w:uiPriority w:val="20"/>
    <w:qFormat/>
    <w:rsid w:val="006B07B2"/>
    <w:rPr>
      <w:i/>
      <w:iCs/>
    </w:rPr>
  </w:style>
  <w:style w:type="paragraph" w:styleId="Revision">
    <w:name w:val="Revision"/>
    <w:hidden/>
    <w:uiPriority w:val="99"/>
    <w:semiHidden/>
    <w:rsid w:val="00AF340F"/>
    <w:pPr>
      <w:spacing w:after="0" w:line="240" w:lineRule="auto"/>
    </w:pPr>
  </w:style>
  <w:style w:type="character" w:customStyle="1" w:styleId="NoSpacingChar">
    <w:name w:val="No Spacing Char"/>
    <w:link w:val="NoSpacing"/>
    <w:uiPriority w:val="1"/>
    <w:rsid w:val="00D969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53757">
      <w:bodyDiv w:val="1"/>
      <w:marLeft w:val="0"/>
      <w:marRight w:val="0"/>
      <w:marTop w:val="0"/>
      <w:marBottom w:val="0"/>
      <w:divBdr>
        <w:top w:val="none" w:sz="0" w:space="0" w:color="auto"/>
        <w:left w:val="none" w:sz="0" w:space="0" w:color="auto"/>
        <w:bottom w:val="none" w:sz="0" w:space="0" w:color="auto"/>
        <w:right w:val="none" w:sz="0" w:space="0" w:color="auto"/>
      </w:divBdr>
    </w:div>
    <w:div w:id="89088351">
      <w:bodyDiv w:val="1"/>
      <w:marLeft w:val="0"/>
      <w:marRight w:val="0"/>
      <w:marTop w:val="0"/>
      <w:marBottom w:val="0"/>
      <w:divBdr>
        <w:top w:val="none" w:sz="0" w:space="0" w:color="auto"/>
        <w:left w:val="none" w:sz="0" w:space="0" w:color="auto"/>
        <w:bottom w:val="none" w:sz="0" w:space="0" w:color="auto"/>
        <w:right w:val="none" w:sz="0" w:space="0" w:color="auto"/>
      </w:divBdr>
    </w:div>
    <w:div w:id="91779536">
      <w:bodyDiv w:val="1"/>
      <w:marLeft w:val="0"/>
      <w:marRight w:val="0"/>
      <w:marTop w:val="0"/>
      <w:marBottom w:val="0"/>
      <w:divBdr>
        <w:top w:val="none" w:sz="0" w:space="0" w:color="auto"/>
        <w:left w:val="none" w:sz="0" w:space="0" w:color="auto"/>
        <w:bottom w:val="none" w:sz="0" w:space="0" w:color="auto"/>
        <w:right w:val="none" w:sz="0" w:space="0" w:color="auto"/>
      </w:divBdr>
    </w:div>
    <w:div w:id="188573029">
      <w:bodyDiv w:val="1"/>
      <w:marLeft w:val="0"/>
      <w:marRight w:val="0"/>
      <w:marTop w:val="0"/>
      <w:marBottom w:val="0"/>
      <w:divBdr>
        <w:top w:val="none" w:sz="0" w:space="0" w:color="auto"/>
        <w:left w:val="none" w:sz="0" w:space="0" w:color="auto"/>
        <w:bottom w:val="none" w:sz="0" w:space="0" w:color="auto"/>
        <w:right w:val="none" w:sz="0" w:space="0" w:color="auto"/>
      </w:divBdr>
    </w:div>
    <w:div w:id="238758996">
      <w:bodyDiv w:val="1"/>
      <w:marLeft w:val="0"/>
      <w:marRight w:val="0"/>
      <w:marTop w:val="0"/>
      <w:marBottom w:val="0"/>
      <w:divBdr>
        <w:top w:val="none" w:sz="0" w:space="0" w:color="auto"/>
        <w:left w:val="none" w:sz="0" w:space="0" w:color="auto"/>
        <w:bottom w:val="none" w:sz="0" w:space="0" w:color="auto"/>
        <w:right w:val="none" w:sz="0" w:space="0" w:color="auto"/>
      </w:divBdr>
    </w:div>
    <w:div w:id="270745684">
      <w:bodyDiv w:val="1"/>
      <w:marLeft w:val="0"/>
      <w:marRight w:val="0"/>
      <w:marTop w:val="0"/>
      <w:marBottom w:val="0"/>
      <w:divBdr>
        <w:top w:val="none" w:sz="0" w:space="0" w:color="auto"/>
        <w:left w:val="none" w:sz="0" w:space="0" w:color="auto"/>
        <w:bottom w:val="none" w:sz="0" w:space="0" w:color="auto"/>
        <w:right w:val="none" w:sz="0" w:space="0" w:color="auto"/>
      </w:divBdr>
    </w:div>
    <w:div w:id="311450969">
      <w:bodyDiv w:val="1"/>
      <w:marLeft w:val="0"/>
      <w:marRight w:val="0"/>
      <w:marTop w:val="0"/>
      <w:marBottom w:val="0"/>
      <w:divBdr>
        <w:top w:val="none" w:sz="0" w:space="0" w:color="auto"/>
        <w:left w:val="none" w:sz="0" w:space="0" w:color="auto"/>
        <w:bottom w:val="none" w:sz="0" w:space="0" w:color="auto"/>
        <w:right w:val="none" w:sz="0" w:space="0" w:color="auto"/>
      </w:divBdr>
    </w:div>
    <w:div w:id="567959631">
      <w:bodyDiv w:val="1"/>
      <w:marLeft w:val="0"/>
      <w:marRight w:val="0"/>
      <w:marTop w:val="0"/>
      <w:marBottom w:val="0"/>
      <w:divBdr>
        <w:top w:val="none" w:sz="0" w:space="0" w:color="auto"/>
        <w:left w:val="none" w:sz="0" w:space="0" w:color="auto"/>
        <w:bottom w:val="none" w:sz="0" w:space="0" w:color="auto"/>
        <w:right w:val="none" w:sz="0" w:space="0" w:color="auto"/>
      </w:divBdr>
    </w:div>
    <w:div w:id="603419323">
      <w:bodyDiv w:val="1"/>
      <w:marLeft w:val="0"/>
      <w:marRight w:val="0"/>
      <w:marTop w:val="0"/>
      <w:marBottom w:val="0"/>
      <w:divBdr>
        <w:top w:val="none" w:sz="0" w:space="0" w:color="auto"/>
        <w:left w:val="none" w:sz="0" w:space="0" w:color="auto"/>
        <w:bottom w:val="none" w:sz="0" w:space="0" w:color="auto"/>
        <w:right w:val="none" w:sz="0" w:space="0" w:color="auto"/>
      </w:divBdr>
    </w:div>
    <w:div w:id="605969452">
      <w:bodyDiv w:val="1"/>
      <w:marLeft w:val="0"/>
      <w:marRight w:val="0"/>
      <w:marTop w:val="0"/>
      <w:marBottom w:val="0"/>
      <w:divBdr>
        <w:top w:val="none" w:sz="0" w:space="0" w:color="auto"/>
        <w:left w:val="none" w:sz="0" w:space="0" w:color="auto"/>
        <w:bottom w:val="none" w:sz="0" w:space="0" w:color="auto"/>
        <w:right w:val="none" w:sz="0" w:space="0" w:color="auto"/>
      </w:divBdr>
      <w:divsChild>
        <w:div w:id="1486050215">
          <w:blockQuote w:val="1"/>
          <w:marLeft w:val="720"/>
          <w:marRight w:val="720"/>
          <w:marTop w:val="100"/>
          <w:marBottom w:val="100"/>
          <w:divBdr>
            <w:top w:val="none" w:sz="0" w:space="0" w:color="auto"/>
            <w:left w:val="none" w:sz="0" w:space="0" w:color="auto"/>
            <w:bottom w:val="none" w:sz="0" w:space="0" w:color="auto"/>
            <w:right w:val="none" w:sz="0" w:space="0" w:color="auto"/>
          </w:divBdr>
        </w:div>
        <w:div w:id="5495399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0020028">
      <w:bodyDiv w:val="1"/>
      <w:marLeft w:val="0"/>
      <w:marRight w:val="0"/>
      <w:marTop w:val="0"/>
      <w:marBottom w:val="0"/>
      <w:divBdr>
        <w:top w:val="none" w:sz="0" w:space="0" w:color="auto"/>
        <w:left w:val="none" w:sz="0" w:space="0" w:color="auto"/>
        <w:bottom w:val="none" w:sz="0" w:space="0" w:color="auto"/>
        <w:right w:val="none" w:sz="0" w:space="0" w:color="auto"/>
      </w:divBdr>
    </w:div>
    <w:div w:id="1111314236">
      <w:bodyDiv w:val="1"/>
      <w:marLeft w:val="0"/>
      <w:marRight w:val="0"/>
      <w:marTop w:val="0"/>
      <w:marBottom w:val="0"/>
      <w:divBdr>
        <w:top w:val="none" w:sz="0" w:space="0" w:color="auto"/>
        <w:left w:val="none" w:sz="0" w:space="0" w:color="auto"/>
        <w:bottom w:val="none" w:sz="0" w:space="0" w:color="auto"/>
        <w:right w:val="none" w:sz="0" w:space="0" w:color="auto"/>
      </w:divBdr>
    </w:div>
    <w:div w:id="1212499972">
      <w:bodyDiv w:val="1"/>
      <w:marLeft w:val="0"/>
      <w:marRight w:val="0"/>
      <w:marTop w:val="0"/>
      <w:marBottom w:val="0"/>
      <w:divBdr>
        <w:top w:val="none" w:sz="0" w:space="0" w:color="auto"/>
        <w:left w:val="none" w:sz="0" w:space="0" w:color="auto"/>
        <w:bottom w:val="none" w:sz="0" w:space="0" w:color="auto"/>
        <w:right w:val="none" w:sz="0" w:space="0" w:color="auto"/>
      </w:divBdr>
    </w:div>
    <w:div w:id="1344044817">
      <w:bodyDiv w:val="1"/>
      <w:marLeft w:val="0"/>
      <w:marRight w:val="0"/>
      <w:marTop w:val="0"/>
      <w:marBottom w:val="0"/>
      <w:divBdr>
        <w:top w:val="none" w:sz="0" w:space="0" w:color="auto"/>
        <w:left w:val="none" w:sz="0" w:space="0" w:color="auto"/>
        <w:bottom w:val="none" w:sz="0" w:space="0" w:color="auto"/>
        <w:right w:val="none" w:sz="0" w:space="0" w:color="auto"/>
      </w:divBdr>
    </w:div>
    <w:div w:id="1378505210">
      <w:bodyDiv w:val="1"/>
      <w:marLeft w:val="0"/>
      <w:marRight w:val="0"/>
      <w:marTop w:val="0"/>
      <w:marBottom w:val="0"/>
      <w:divBdr>
        <w:top w:val="none" w:sz="0" w:space="0" w:color="auto"/>
        <w:left w:val="none" w:sz="0" w:space="0" w:color="auto"/>
        <w:bottom w:val="none" w:sz="0" w:space="0" w:color="auto"/>
        <w:right w:val="none" w:sz="0" w:space="0" w:color="auto"/>
      </w:divBdr>
    </w:div>
    <w:div w:id="1458178641">
      <w:bodyDiv w:val="1"/>
      <w:marLeft w:val="0"/>
      <w:marRight w:val="0"/>
      <w:marTop w:val="0"/>
      <w:marBottom w:val="0"/>
      <w:divBdr>
        <w:top w:val="none" w:sz="0" w:space="0" w:color="auto"/>
        <w:left w:val="none" w:sz="0" w:space="0" w:color="auto"/>
        <w:bottom w:val="none" w:sz="0" w:space="0" w:color="auto"/>
        <w:right w:val="none" w:sz="0" w:space="0" w:color="auto"/>
      </w:divBdr>
    </w:div>
    <w:div w:id="1461412155">
      <w:bodyDiv w:val="1"/>
      <w:marLeft w:val="0"/>
      <w:marRight w:val="0"/>
      <w:marTop w:val="0"/>
      <w:marBottom w:val="0"/>
      <w:divBdr>
        <w:top w:val="none" w:sz="0" w:space="0" w:color="auto"/>
        <w:left w:val="none" w:sz="0" w:space="0" w:color="auto"/>
        <w:bottom w:val="none" w:sz="0" w:space="0" w:color="auto"/>
        <w:right w:val="none" w:sz="0" w:space="0" w:color="auto"/>
      </w:divBdr>
    </w:div>
    <w:div w:id="1552424158">
      <w:bodyDiv w:val="1"/>
      <w:marLeft w:val="0"/>
      <w:marRight w:val="0"/>
      <w:marTop w:val="0"/>
      <w:marBottom w:val="0"/>
      <w:divBdr>
        <w:top w:val="none" w:sz="0" w:space="0" w:color="auto"/>
        <w:left w:val="none" w:sz="0" w:space="0" w:color="auto"/>
        <w:bottom w:val="none" w:sz="0" w:space="0" w:color="auto"/>
        <w:right w:val="none" w:sz="0" w:space="0" w:color="auto"/>
      </w:divBdr>
    </w:div>
    <w:div w:id="1631663507">
      <w:bodyDiv w:val="1"/>
      <w:marLeft w:val="0"/>
      <w:marRight w:val="0"/>
      <w:marTop w:val="0"/>
      <w:marBottom w:val="0"/>
      <w:divBdr>
        <w:top w:val="none" w:sz="0" w:space="0" w:color="auto"/>
        <w:left w:val="none" w:sz="0" w:space="0" w:color="auto"/>
        <w:bottom w:val="none" w:sz="0" w:space="0" w:color="auto"/>
        <w:right w:val="none" w:sz="0" w:space="0" w:color="auto"/>
      </w:divBdr>
      <w:divsChild>
        <w:div w:id="397095386">
          <w:marLeft w:val="0"/>
          <w:marRight w:val="0"/>
          <w:marTop w:val="0"/>
          <w:marBottom w:val="0"/>
          <w:divBdr>
            <w:top w:val="none" w:sz="0" w:space="0" w:color="auto"/>
            <w:left w:val="none" w:sz="0" w:space="0" w:color="auto"/>
            <w:bottom w:val="none" w:sz="0" w:space="0" w:color="auto"/>
            <w:right w:val="none" w:sz="0" w:space="0" w:color="auto"/>
          </w:divBdr>
          <w:divsChild>
            <w:div w:id="1185826862">
              <w:marLeft w:val="0"/>
              <w:marRight w:val="0"/>
              <w:marTop w:val="0"/>
              <w:marBottom w:val="0"/>
              <w:divBdr>
                <w:top w:val="none" w:sz="0" w:space="0" w:color="auto"/>
                <w:left w:val="none" w:sz="0" w:space="0" w:color="auto"/>
                <w:bottom w:val="none" w:sz="0" w:space="0" w:color="auto"/>
                <w:right w:val="none" w:sz="0" w:space="0" w:color="auto"/>
              </w:divBdr>
            </w:div>
          </w:divsChild>
        </w:div>
        <w:div w:id="1887330883">
          <w:marLeft w:val="0"/>
          <w:marRight w:val="0"/>
          <w:marTop w:val="0"/>
          <w:marBottom w:val="0"/>
          <w:divBdr>
            <w:top w:val="none" w:sz="0" w:space="0" w:color="auto"/>
            <w:left w:val="none" w:sz="0" w:space="0" w:color="auto"/>
            <w:bottom w:val="none" w:sz="0" w:space="0" w:color="auto"/>
            <w:right w:val="none" w:sz="0" w:space="0" w:color="auto"/>
          </w:divBdr>
          <w:divsChild>
            <w:div w:id="221991194">
              <w:marLeft w:val="0"/>
              <w:marRight w:val="0"/>
              <w:marTop w:val="0"/>
              <w:marBottom w:val="0"/>
              <w:divBdr>
                <w:top w:val="none" w:sz="0" w:space="0" w:color="auto"/>
                <w:left w:val="none" w:sz="0" w:space="0" w:color="auto"/>
                <w:bottom w:val="none" w:sz="0" w:space="0" w:color="auto"/>
                <w:right w:val="none" w:sz="0" w:space="0" w:color="auto"/>
              </w:divBdr>
            </w:div>
          </w:divsChild>
        </w:div>
        <w:div w:id="1541822591">
          <w:marLeft w:val="0"/>
          <w:marRight w:val="0"/>
          <w:marTop w:val="0"/>
          <w:marBottom w:val="0"/>
          <w:divBdr>
            <w:top w:val="none" w:sz="0" w:space="0" w:color="auto"/>
            <w:left w:val="none" w:sz="0" w:space="0" w:color="auto"/>
            <w:bottom w:val="none" w:sz="0" w:space="0" w:color="auto"/>
            <w:right w:val="none" w:sz="0" w:space="0" w:color="auto"/>
          </w:divBdr>
          <w:divsChild>
            <w:div w:id="1221356334">
              <w:marLeft w:val="0"/>
              <w:marRight w:val="0"/>
              <w:marTop w:val="0"/>
              <w:marBottom w:val="0"/>
              <w:divBdr>
                <w:top w:val="none" w:sz="0" w:space="0" w:color="auto"/>
                <w:left w:val="none" w:sz="0" w:space="0" w:color="auto"/>
                <w:bottom w:val="none" w:sz="0" w:space="0" w:color="auto"/>
                <w:right w:val="none" w:sz="0" w:space="0" w:color="auto"/>
              </w:divBdr>
            </w:div>
          </w:divsChild>
        </w:div>
        <w:div w:id="70202086">
          <w:marLeft w:val="0"/>
          <w:marRight w:val="0"/>
          <w:marTop w:val="0"/>
          <w:marBottom w:val="0"/>
          <w:divBdr>
            <w:top w:val="none" w:sz="0" w:space="0" w:color="auto"/>
            <w:left w:val="none" w:sz="0" w:space="0" w:color="auto"/>
            <w:bottom w:val="none" w:sz="0" w:space="0" w:color="auto"/>
            <w:right w:val="none" w:sz="0" w:space="0" w:color="auto"/>
          </w:divBdr>
          <w:divsChild>
            <w:div w:id="808861363">
              <w:marLeft w:val="0"/>
              <w:marRight w:val="0"/>
              <w:marTop w:val="0"/>
              <w:marBottom w:val="0"/>
              <w:divBdr>
                <w:top w:val="none" w:sz="0" w:space="0" w:color="auto"/>
                <w:left w:val="none" w:sz="0" w:space="0" w:color="auto"/>
                <w:bottom w:val="none" w:sz="0" w:space="0" w:color="auto"/>
                <w:right w:val="none" w:sz="0" w:space="0" w:color="auto"/>
              </w:divBdr>
            </w:div>
          </w:divsChild>
        </w:div>
        <w:div w:id="434639987">
          <w:marLeft w:val="0"/>
          <w:marRight w:val="0"/>
          <w:marTop w:val="0"/>
          <w:marBottom w:val="0"/>
          <w:divBdr>
            <w:top w:val="none" w:sz="0" w:space="0" w:color="auto"/>
            <w:left w:val="none" w:sz="0" w:space="0" w:color="auto"/>
            <w:bottom w:val="none" w:sz="0" w:space="0" w:color="auto"/>
            <w:right w:val="none" w:sz="0" w:space="0" w:color="auto"/>
          </w:divBdr>
          <w:divsChild>
            <w:div w:id="1916814288">
              <w:marLeft w:val="0"/>
              <w:marRight w:val="0"/>
              <w:marTop w:val="0"/>
              <w:marBottom w:val="0"/>
              <w:divBdr>
                <w:top w:val="none" w:sz="0" w:space="0" w:color="auto"/>
                <w:left w:val="none" w:sz="0" w:space="0" w:color="auto"/>
                <w:bottom w:val="none" w:sz="0" w:space="0" w:color="auto"/>
                <w:right w:val="none" w:sz="0" w:space="0" w:color="auto"/>
              </w:divBdr>
            </w:div>
          </w:divsChild>
        </w:div>
        <w:div w:id="1178226502">
          <w:marLeft w:val="0"/>
          <w:marRight w:val="0"/>
          <w:marTop w:val="0"/>
          <w:marBottom w:val="0"/>
          <w:divBdr>
            <w:top w:val="none" w:sz="0" w:space="0" w:color="auto"/>
            <w:left w:val="none" w:sz="0" w:space="0" w:color="auto"/>
            <w:bottom w:val="none" w:sz="0" w:space="0" w:color="auto"/>
            <w:right w:val="none" w:sz="0" w:space="0" w:color="auto"/>
          </w:divBdr>
          <w:divsChild>
            <w:div w:id="538516327">
              <w:marLeft w:val="0"/>
              <w:marRight w:val="0"/>
              <w:marTop w:val="0"/>
              <w:marBottom w:val="0"/>
              <w:divBdr>
                <w:top w:val="none" w:sz="0" w:space="0" w:color="auto"/>
                <w:left w:val="none" w:sz="0" w:space="0" w:color="auto"/>
                <w:bottom w:val="none" w:sz="0" w:space="0" w:color="auto"/>
                <w:right w:val="none" w:sz="0" w:space="0" w:color="auto"/>
              </w:divBdr>
            </w:div>
          </w:divsChild>
        </w:div>
        <w:div w:id="588344873">
          <w:marLeft w:val="0"/>
          <w:marRight w:val="0"/>
          <w:marTop w:val="0"/>
          <w:marBottom w:val="0"/>
          <w:divBdr>
            <w:top w:val="none" w:sz="0" w:space="0" w:color="auto"/>
            <w:left w:val="none" w:sz="0" w:space="0" w:color="auto"/>
            <w:bottom w:val="none" w:sz="0" w:space="0" w:color="auto"/>
            <w:right w:val="none" w:sz="0" w:space="0" w:color="auto"/>
          </w:divBdr>
          <w:divsChild>
            <w:div w:id="1532835568">
              <w:marLeft w:val="0"/>
              <w:marRight w:val="0"/>
              <w:marTop w:val="0"/>
              <w:marBottom w:val="0"/>
              <w:divBdr>
                <w:top w:val="none" w:sz="0" w:space="0" w:color="auto"/>
                <w:left w:val="none" w:sz="0" w:space="0" w:color="auto"/>
                <w:bottom w:val="none" w:sz="0" w:space="0" w:color="auto"/>
                <w:right w:val="none" w:sz="0" w:space="0" w:color="auto"/>
              </w:divBdr>
            </w:div>
          </w:divsChild>
        </w:div>
        <w:div w:id="1040086619">
          <w:marLeft w:val="0"/>
          <w:marRight w:val="0"/>
          <w:marTop w:val="0"/>
          <w:marBottom w:val="0"/>
          <w:divBdr>
            <w:top w:val="none" w:sz="0" w:space="0" w:color="auto"/>
            <w:left w:val="none" w:sz="0" w:space="0" w:color="auto"/>
            <w:bottom w:val="none" w:sz="0" w:space="0" w:color="auto"/>
            <w:right w:val="none" w:sz="0" w:space="0" w:color="auto"/>
          </w:divBdr>
          <w:divsChild>
            <w:div w:id="874272519">
              <w:marLeft w:val="0"/>
              <w:marRight w:val="0"/>
              <w:marTop w:val="0"/>
              <w:marBottom w:val="0"/>
              <w:divBdr>
                <w:top w:val="none" w:sz="0" w:space="0" w:color="auto"/>
                <w:left w:val="none" w:sz="0" w:space="0" w:color="auto"/>
                <w:bottom w:val="none" w:sz="0" w:space="0" w:color="auto"/>
                <w:right w:val="none" w:sz="0" w:space="0" w:color="auto"/>
              </w:divBdr>
            </w:div>
          </w:divsChild>
        </w:div>
        <w:div w:id="1151096603">
          <w:marLeft w:val="0"/>
          <w:marRight w:val="0"/>
          <w:marTop w:val="0"/>
          <w:marBottom w:val="0"/>
          <w:divBdr>
            <w:top w:val="none" w:sz="0" w:space="0" w:color="auto"/>
            <w:left w:val="none" w:sz="0" w:space="0" w:color="auto"/>
            <w:bottom w:val="none" w:sz="0" w:space="0" w:color="auto"/>
            <w:right w:val="none" w:sz="0" w:space="0" w:color="auto"/>
          </w:divBdr>
          <w:divsChild>
            <w:div w:id="874736369">
              <w:marLeft w:val="0"/>
              <w:marRight w:val="0"/>
              <w:marTop w:val="0"/>
              <w:marBottom w:val="0"/>
              <w:divBdr>
                <w:top w:val="none" w:sz="0" w:space="0" w:color="auto"/>
                <w:left w:val="none" w:sz="0" w:space="0" w:color="auto"/>
                <w:bottom w:val="none" w:sz="0" w:space="0" w:color="auto"/>
                <w:right w:val="none" w:sz="0" w:space="0" w:color="auto"/>
              </w:divBdr>
            </w:div>
          </w:divsChild>
        </w:div>
        <w:div w:id="778992147">
          <w:marLeft w:val="0"/>
          <w:marRight w:val="0"/>
          <w:marTop w:val="0"/>
          <w:marBottom w:val="0"/>
          <w:divBdr>
            <w:top w:val="none" w:sz="0" w:space="0" w:color="auto"/>
            <w:left w:val="none" w:sz="0" w:space="0" w:color="auto"/>
            <w:bottom w:val="none" w:sz="0" w:space="0" w:color="auto"/>
            <w:right w:val="none" w:sz="0" w:space="0" w:color="auto"/>
          </w:divBdr>
          <w:divsChild>
            <w:div w:id="1405177275">
              <w:marLeft w:val="0"/>
              <w:marRight w:val="0"/>
              <w:marTop w:val="0"/>
              <w:marBottom w:val="0"/>
              <w:divBdr>
                <w:top w:val="none" w:sz="0" w:space="0" w:color="auto"/>
                <w:left w:val="none" w:sz="0" w:space="0" w:color="auto"/>
                <w:bottom w:val="none" w:sz="0" w:space="0" w:color="auto"/>
                <w:right w:val="none" w:sz="0" w:space="0" w:color="auto"/>
              </w:divBdr>
            </w:div>
          </w:divsChild>
        </w:div>
        <w:div w:id="1378240352">
          <w:marLeft w:val="0"/>
          <w:marRight w:val="0"/>
          <w:marTop w:val="0"/>
          <w:marBottom w:val="0"/>
          <w:divBdr>
            <w:top w:val="none" w:sz="0" w:space="0" w:color="auto"/>
            <w:left w:val="none" w:sz="0" w:space="0" w:color="auto"/>
            <w:bottom w:val="none" w:sz="0" w:space="0" w:color="auto"/>
            <w:right w:val="none" w:sz="0" w:space="0" w:color="auto"/>
          </w:divBdr>
          <w:divsChild>
            <w:div w:id="1560288604">
              <w:marLeft w:val="0"/>
              <w:marRight w:val="0"/>
              <w:marTop w:val="0"/>
              <w:marBottom w:val="0"/>
              <w:divBdr>
                <w:top w:val="none" w:sz="0" w:space="0" w:color="auto"/>
                <w:left w:val="none" w:sz="0" w:space="0" w:color="auto"/>
                <w:bottom w:val="none" w:sz="0" w:space="0" w:color="auto"/>
                <w:right w:val="none" w:sz="0" w:space="0" w:color="auto"/>
              </w:divBdr>
            </w:div>
          </w:divsChild>
        </w:div>
        <w:div w:id="575475361">
          <w:marLeft w:val="0"/>
          <w:marRight w:val="0"/>
          <w:marTop w:val="0"/>
          <w:marBottom w:val="0"/>
          <w:divBdr>
            <w:top w:val="none" w:sz="0" w:space="0" w:color="auto"/>
            <w:left w:val="none" w:sz="0" w:space="0" w:color="auto"/>
            <w:bottom w:val="none" w:sz="0" w:space="0" w:color="auto"/>
            <w:right w:val="none" w:sz="0" w:space="0" w:color="auto"/>
          </w:divBdr>
          <w:divsChild>
            <w:div w:id="1154033184">
              <w:marLeft w:val="0"/>
              <w:marRight w:val="0"/>
              <w:marTop w:val="0"/>
              <w:marBottom w:val="0"/>
              <w:divBdr>
                <w:top w:val="none" w:sz="0" w:space="0" w:color="auto"/>
                <w:left w:val="none" w:sz="0" w:space="0" w:color="auto"/>
                <w:bottom w:val="none" w:sz="0" w:space="0" w:color="auto"/>
                <w:right w:val="none" w:sz="0" w:space="0" w:color="auto"/>
              </w:divBdr>
            </w:div>
          </w:divsChild>
        </w:div>
        <w:div w:id="1865240714">
          <w:marLeft w:val="0"/>
          <w:marRight w:val="0"/>
          <w:marTop w:val="0"/>
          <w:marBottom w:val="0"/>
          <w:divBdr>
            <w:top w:val="none" w:sz="0" w:space="0" w:color="auto"/>
            <w:left w:val="none" w:sz="0" w:space="0" w:color="auto"/>
            <w:bottom w:val="none" w:sz="0" w:space="0" w:color="auto"/>
            <w:right w:val="none" w:sz="0" w:space="0" w:color="auto"/>
          </w:divBdr>
          <w:divsChild>
            <w:div w:id="701245425">
              <w:marLeft w:val="0"/>
              <w:marRight w:val="0"/>
              <w:marTop w:val="0"/>
              <w:marBottom w:val="0"/>
              <w:divBdr>
                <w:top w:val="none" w:sz="0" w:space="0" w:color="auto"/>
                <w:left w:val="none" w:sz="0" w:space="0" w:color="auto"/>
                <w:bottom w:val="none" w:sz="0" w:space="0" w:color="auto"/>
                <w:right w:val="none" w:sz="0" w:space="0" w:color="auto"/>
              </w:divBdr>
            </w:div>
          </w:divsChild>
        </w:div>
        <w:div w:id="1032389240">
          <w:marLeft w:val="0"/>
          <w:marRight w:val="0"/>
          <w:marTop w:val="0"/>
          <w:marBottom w:val="0"/>
          <w:divBdr>
            <w:top w:val="none" w:sz="0" w:space="0" w:color="auto"/>
            <w:left w:val="none" w:sz="0" w:space="0" w:color="auto"/>
            <w:bottom w:val="none" w:sz="0" w:space="0" w:color="auto"/>
            <w:right w:val="none" w:sz="0" w:space="0" w:color="auto"/>
          </w:divBdr>
          <w:divsChild>
            <w:div w:id="1810054243">
              <w:marLeft w:val="0"/>
              <w:marRight w:val="0"/>
              <w:marTop w:val="0"/>
              <w:marBottom w:val="0"/>
              <w:divBdr>
                <w:top w:val="none" w:sz="0" w:space="0" w:color="auto"/>
                <w:left w:val="none" w:sz="0" w:space="0" w:color="auto"/>
                <w:bottom w:val="none" w:sz="0" w:space="0" w:color="auto"/>
                <w:right w:val="none" w:sz="0" w:space="0" w:color="auto"/>
              </w:divBdr>
            </w:div>
          </w:divsChild>
        </w:div>
        <w:div w:id="1735854353">
          <w:marLeft w:val="0"/>
          <w:marRight w:val="0"/>
          <w:marTop w:val="0"/>
          <w:marBottom w:val="0"/>
          <w:divBdr>
            <w:top w:val="none" w:sz="0" w:space="0" w:color="auto"/>
            <w:left w:val="none" w:sz="0" w:space="0" w:color="auto"/>
            <w:bottom w:val="none" w:sz="0" w:space="0" w:color="auto"/>
            <w:right w:val="none" w:sz="0" w:space="0" w:color="auto"/>
          </w:divBdr>
          <w:divsChild>
            <w:div w:id="1093478068">
              <w:marLeft w:val="0"/>
              <w:marRight w:val="0"/>
              <w:marTop w:val="0"/>
              <w:marBottom w:val="0"/>
              <w:divBdr>
                <w:top w:val="none" w:sz="0" w:space="0" w:color="auto"/>
                <w:left w:val="none" w:sz="0" w:space="0" w:color="auto"/>
                <w:bottom w:val="none" w:sz="0" w:space="0" w:color="auto"/>
                <w:right w:val="none" w:sz="0" w:space="0" w:color="auto"/>
              </w:divBdr>
            </w:div>
          </w:divsChild>
        </w:div>
        <w:div w:id="1140348638">
          <w:marLeft w:val="0"/>
          <w:marRight w:val="0"/>
          <w:marTop w:val="0"/>
          <w:marBottom w:val="0"/>
          <w:divBdr>
            <w:top w:val="none" w:sz="0" w:space="0" w:color="auto"/>
            <w:left w:val="none" w:sz="0" w:space="0" w:color="auto"/>
            <w:bottom w:val="none" w:sz="0" w:space="0" w:color="auto"/>
            <w:right w:val="none" w:sz="0" w:space="0" w:color="auto"/>
          </w:divBdr>
          <w:divsChild>
            <w:div w:id="1846553638">
              <w:marLeft w:val="0"/>
              <w:marRight w:val="0"/>
              <w:marTop w:val="0"/>
              <w:marBottom w:val="0"/>
              <w:divBdr>
                <w:top w:val="none" w:sz="0" w:space="0" w:color="auto"/>
                <w:left w:val="none" w:sz="0" w:space="0" w:color="auto"/>
                <w:bottom w:val="none" w:sz="0" w:space="0" w:color="auto"/>
                <w:right w:val="none" w:sz="0" w:space="0" w:color="auto"/>
              </w:divBdr>
            </w:div>
          </w:divsChild>
        </w:div>
        <w:div w:id="1669359416">
          <w:marLeft w:val="0"/>
          <w:marRight w:val="0"/>
          <w:marTop w:val="0"/>
          <w:marBottom w:val="0"/>
          <w:divBdr>
            <w:top w:val="none" w:sz="0" w:space="0" w:color="auto"/>
            <w:left w:val="none" w:sz="0" w:space="0" w:color="auto"/>
            <w:bottom w:val="none" w:sz="0" w:space="0" w:color="auto"/>
            <w:right w:val="none" w:sz="0" w:space="0" w:color="auto"/>
          </w:divBdr>
          <w:divsChild>
            <w:div w:id="1421491654">
              <w:marLeft w:val="0"/>
              <w:marRight w:val="0"/>
              <w:marTop w:val="0"/>
              <w:marBottom w:val="0"/>
              <w:divBdr>
                <w:top w:val="none" w:sz="0" w:space="0" w:color="auto"/>
                <w:left w:val="none" w:sz="0" w:space="0" w:color="auto"/>
                <w:bottom w:val="none" w:sz="0" w:space="0" w:color="auto"/>
                <w:right w:val="none" w:sz="0" w:space="0" w:color="auto"/>
              </w:divBdr>
            </w:div>
          </w:divsChild>
        </w:div>
        <w:div w:id="1626698643">
          <w:marLeft w:val="0"/>
          <w:marRight w:val="0"/>
          <w:marTop w:val="0"/>
          <w:marBottom w:val="0"/>
          <w:divBdr>
            <w:top w:val="none" w:sz="0" w:space="0" w:color="auto"/>
            <w:left w:val="none" w:sz="0" w:space="0" w:color="auto"/>
            <w:bottom w:val="none" w:sz="0" w:space="0" w:color="auto"/>
            <w:right w:val="none" w:sz="0" w:space="0" w:color="auto"/>
          </w:divBdr>
          <w:divsChild>
            <w:div w:id="1819152911">
              <w:marLeft w:val="0"/>
              <w:marRight w:val="0"/>
              <w:marTop w:val="0"/>
              <w:marBottom w:val="0"/>
              <w:divBdr>
                <w:top w:val="none" w:sz="0" w:space="0" w:color="auto"/>
                <w:left w:val="none" w:sz="0" w:space="0" w:color="auto"/>
                <w:bottom w:val="none" w:sz="0" w:space="0" w:color="auto"/>
                <w:right w:val="none" w:sz="0" w:space="0" w:color="auto"/>
              </w:divBdr>
            </w:div>
          </w:divsChild>
        </w:div>
        <w:div w:id="1859276211">
          <w:marLeft w:val="0"/>
          <w:marRight w:val="0"/>
          <w:marTop w:val="0"/>
          <w:marBottom w:val="0"/>
          <w:divBdr>
            <w:top w:val="none" w:sz="0" w:space="0" w:color="auto"/>
            <w:left w:val="none" w:sz="0" w:space="0" w:color="auto"/>
            <w:bottom w:val="none" w:sz="0" w:space="0" w:color="auto"/>
            <w:right w:val="none" w:sz="0" w:space="0" w:color="auto"/>
          </w:divBdr>
          <w:divsChild>
            <w:div w:id="110214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038462">
      <w:bodyDiv w:val="1"/>
      <w:marLeft w:val="0"/>
      <w:marRight w:val="0"/>
      <w:marTop w:val="0"/>
      <w:marBottom w:val="0"/>
      <w:divBdr>
        <w:top w:val="none" w:sz="0" w:space="0" w:color="auto"/>
        <w:left w:val="none" w:sz="0" w:space="0" w:color="auto"/>
        <w:bottom w:val="none" w:sz="0" w:space="0" w:color="auto"/>
        <w:right w:val="none" w:sz="0" w:space="0" w:color="auto"/>
      </w:divBdr>
      <w:divsChild>
        <w:div w:id="13482907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0251928">
      <w:bodyDiv w:val="1"/>
      <w:marLeft w:val="0"/>
      <w:marRight w:val="0"/>
      <w:marTop w:val="0"/>
      <w:marBottom w:val="0"/>
      <w:divBdr>
        <w:top w:val="none" w:sz="0" w:space="0" w:color="auto"/>
        <w:left w:val="none" w:sz="0" w:space="0" w:color="auto"/>
        <w:bottom w:val="none" w:sz="0" w:space="0" w:color="auto"/>
        <w:right w:val="none" w:sz="0" w:space="0" w:color="auto"/>
      </w:divBdr>
    </w:div>
    <w:div w:id="1720397957">
      <w:bodyDiv w:val="1"/>
      <w:marLeft w:val="0"/>
      <w:marRight w:val="0"/>
      <w:marTop w:val="0"/>
      <w:marBottom w:val="0"/>
      <w:divBdr>
        <w:top w:val="none" w:sz="0" w:space="0" w:color="auto"/>
        <w:left w:val="none" w:sz="0" w:space="0" w:color="auto"/>
        <w:bottom w:val="none" w:sz="0" w:space="0" w:color="auto"/>
        <w:right w:val="none" w:sz="0" w:space="0" w:color="auto"/>
      </w:divBdr>
    </w:div>
    <w:div w:id="1729257761">
      <w:bodyDiv w:val="1"/>
      <w:marLeft w:val="0"/>
      <w:marRight w:val="0"/>
      <w:marTop w:val="0"/>
      <w:marBottom w:val="0"/>
      <w:divBdr>
        <w:top w:val="none" w:sz="0" w:space="0" w:color="auto"/>
        <w:left w:val="none" w:sz="0" w:space="0" w:color="auto"/>
        <w:bottom w:val="none" w:sz="0" w:space="0" w:color="auto"/>
        <w:right w:val="none" w:sz="0" w:space="0" w:color="auto"/>
      </w:divBdr>
      <w:divsChild>
        <w:div w:id="20054255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5535518">
      <w:bodyDiv w:val="1"/>
      <w:marLeft w:val="0"/>
      <w:marRight w:val="0"/>
      <w:marTop w:val="0"/>
      <w:marBottom w:val="0"/>
      <w:divBdr>
        <w:top w:val="none" w:sz="0" w:space="0" w:color="auto"/>
        <w:left w:val="none" w:sz="0" w:space="0" w:color="auto"/>
        <w:bottom w:val="none" w:sz="0" w:space="0" w:color="auto"/>
        <w:right w:val="none" w:sz="0" w:space="0" w:color="auto"/>
      </w:divBdr>
    </w:div>
    <w:div w:id="2015762253">
      <w:bodyDiv w:val="1"/>
      <w:marLeft w:val="0"/>
      <w:marRight w:val="0"/>
      <w:marTop w:val="0"/>
      <w:marBottom w:val="0"/>
      <w:divBdr>
        <w:top w:val="none" w:sz="0" w:space="0" w:color="auto"/>
        <w:left w:val="none" w:sz="0" w:space="0" w:color="auto"/>
        <w:bottom w:val="none" w:sz="0" w:space="0" w:color="auto"/>
        <w:right w:val="none" w:sz="0" w:space="0" w:color="auto"/>
      </w:divBdr>
    </w:div>
    <w:div w:id="2033262822">
      <w:bodyDiv w:val="1"/>
      <w:marLeft w:val="0"/>
      <w:marRight w:val="0"/>
      <w:marTop w:val="0"/>
      <w:marBottom w:val="0"/>
      <w:divBdr>
        <w:top w:val="none" w:sz="0" w:space="0" w:color="auto"/>
        <w:left w:val="none" w:sz="0" w:space="0" w:color="auto"/>
        <w:bottom w:val="none" w:sz="0" w:space="0" w:color="auto"/>
        <w:right w:val="none" w:sz="0" w:space="0" w:color="auto"/>
      </w:divBdr>
    </w:div>
    <w:div w:id="207716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ia303222045@uinsu.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71A786-50D0-4404-8CFD-B9B878707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1159</TotalTime>
  <Pages>13</Pages>
  <Words>20874</Words>
  <Characters>118983</Characters>
  <Application>Microsoft Office Word</Application>
  <DocSecurity>0</DocSecurity>
  <Lines>991</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FUJITSU</cp:lastModifiedBy>
  <cp:revision>124</cp:revision>
  <cp:lastPrinted>2026-08-01T10:26:00Z</cp:lastPrinted>
  <dcterms:created xsi:type="dcterms:W3CDTF">2024-01-23T12:42:00Z</dcterms:created>
  <dcterms:modified xsi:type="dcterms:W3CDTF">2026-08-01T10:26:00Z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AMA Manual of Style 11th edition</vt:lpwstr>
  </property>
  <property fmtid="{D5CDD505-2E9C-101B-9397-08002B2CF9AE}" pid="4" name="Mendeley Recent Style Id 1_1">
    <vt:lpwstr>http://www.zotero.org/styles/apa</vt:lpwstr>
  </property>
  <property fmtid="{D5CDD505-2E9C-101B-9397-08002B2CF9AE}" pid="5" name="Mendeley Recent Style Name 1_1">
    <vt:lpwstr>APA Style 7th edition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APSA Style Manual revised 2018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ASA Style Guide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(author-date/Harvard)</vt:lpwstr>
  </property>
  <property fmtid="{D5CDD505-2E9C-101B-9397-08002B2CF9AE}" pid="14" name="Mendeley Recent Style Id 6_1">
    <vt:lpwstr>http://www.zotero.org/styles/ieee</vt:lpwstr>
  </property>
  <property fmtid="{D5CDD505-2E9C-101B-9397-08002B2CF9AE}" pid="15" name="Mendeley Recent Style Name 6_1">
    <vt:lpwstr>IEEE Reference Guide version 11.29.2023</vt:lpwstr>
  </property>
  <property fmtid="{D5CDD505-2E9C-101B-9397-08002B2CF9AE}" pid="16" name="Mendeley Recent Style Id 7_1">
    <vt:lpwstr>http://www.zotero.org/styles/modern-language-association</vt:lpwstr>
  </property>
  <property fmtid="{D5CDD505-2E9C-101B-9397-08002B2CF9AE}" pid="17" name="Mendeley Recent Style Name 7_1">
    <vt:lpwstr>MLA Handbook 9th edition (in-text citations)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42100fa2-6cc5-3771-b812-e015332b7bd7</vt:lpwstr>
  </property>
  <property fmtid="{D5CDD505-2E9C-101B-9397-08002B2CF9AE}" pid="24" name="Mendeley Citation Style_1">
    <vt:lpwstr>http://www.zotero.org/styles/apa</vt:lpwstr>
  </property>
</Properties>
</file>